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2784" w14:textId="77777777" w:rsidR="00DC4587" w:rsidRDefault="00DC4587" w:rsidP="00C55684">
      <w:pPr>
        <w:spacing w:line="276" w:lineRule="auto"/>
        <w:rPr>
          <w:rFonts w:cs="Times New Roman"/>
          <w:i/>
          <w:sz w:val="24"/>
          <w:szCs w:val="24"/>
          <w:lang w:val="en-GB" w:eastAsia="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072"/>
      </w:tblGrid>
      <w:tr w:rsidR="00DC4587" w:rsidRPr="00EF3245" w14:paraId="5D5BA6A7" w14:textId="77777777" w:rsidTr="00D97D43">
        <w:trPr>
          <w:trHeight w:val="2117"/>
          <w:jc w:val="center"/>
        </w:trPr>
        <w:tc>
          <w:tcPr>
            <w:tcW w:w="2152" w:type="dxa"/>
            <w:shd w:val="clear" w:color="auto" w:fill="auto"/>
            <w:vAlign w:val="center"/>
          </w:tcPr>
          <w:p w14:paraId="62B93679" w14:textId="77777777" w:rsidR="00DC4587" w:rsidRPr="005B17F0" w:rsidRDefault="00DC4587" w:rsidP="00D97D43">
            <w:pPr>
              <w:pStyle w:val="LogoNEST"/>
            </w:pPr>
            <w:r w:rsidRPr="005B17F0">
              <w:drawing>
                <wp:inline distT="0" distB="0" distL="0" distR="0" wp14:anchorId="1C8B907B" wp14:editId="313290A8">
                  <wp:extent cx="1285875" cy="1298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9162" cy="1322008"/>
                          </a:xfrm>
                          <a:prstGeom prst="rect">
                            <a:avLst/>
                          </a:prstGeom>
                        </pic:spPr>
                      </pic:pic>
                    </a:graphicData>
                  </a:graphic>
                </wp:inline>
              </w:drawing>
            </w:r>
          </w:p>
        </w:tc>
        <w:tc>
          <w:tcPr>
            <w:tcW w:w="7072" w:type="dxa"/>
            <w:shd w:val="clear" w:color="auto" w:fill="auto"/>
            <w:vAlign w:val="center"/>
          </w:tcPr>
          <w:p w14:paraId="766BB418" w14:textId="77777777" w:rsidR="00DC4587" w:rsidRPr="005F2240" w:rsidRDefault="00DC4587" w:rsidP="00D97D43">
            <w:pPr>
              <w:pStyle w:val="NameNEST"/>
              <w:rPr>
                <w:lang w:val="fr-FR"/>
              </w:rPr>
            </w:pPr>
            <w:r w:rsidRPr="005F2240">
              <w:rPr>
                <w:lang w:val="fr-FR"/>
              </w:rPr>
              <w:t>EURONEST PARLIAMENTARY ASSEMBLY</w:t>
            </w:r>
          </w:p>
          <w:p w14:paraId="1CE8EB64" w14:textId="77777777" w:rsidR="00DC4587" w:rsidRPr="005F2240" w:rsidRDefault="00DC4587" w:rsidP="00D97D43">
            <w:pPr>
              <w:pStyle w:val="NameNEST"/>
              <w:rPr>
                <w:lang w:val="fr-FR"/>
              </w:rPr>
            </w:pPr>
            <w:r w:rsidRPr="005F2240">
              <w:rPr>
                <w:lang w:val="fr-FR"/>
              </w:rPr>
              <w:t>ASSEMBLÉE PARLEMENTAIRE EURONEST</w:t>
            </w:r>
          </w:p>
          <w:p w14:paraId="2E9B19BF" w14:textId="77777777" w:rsidR="00DC4587" w:rsidRPr="005F2240" w:rsidRDefault="00DC4587" w:rsidP="00D97D43">
            <w:pPr>
              <w:pStyle w:val="NameNEST"/>
              <w:rPr>
                <w:lang w:val="fr-FR"/>
              </w:rPr>
            </w:pPr>
            <w:r w:rsidRPr="005F2240">
              <w:rPr>
                <w:lang w:val="fr-FR"/>
              </w:rPr>
              <w:t>PARLAMENTARISCHE VERSAMMLUNG EURONEST</w:t>
            </w:r>
          </w:p>
          <w:p w14:paraId="0F3773A1" w14:textId="77777777" w:rsidR="00DC4587" w:rsidRPr="005F2240" w:rsidRDefault="00DC4587" w:rsidP="00D97D43">
            <w:pPr>
              <w:pStyle w:val="NameNEST"/>
              <w:rPr>
                <w:lang w:val="fr-FR"/>
              </w:rPr>
            </w:pPr>
            <w:r w:rsidRPr="005B17F0">
              <w:t>ПАРЛАМЕНТСКАЯ</w:t>
            </w:r>
            <w:r w:rsidRPr="005F2240">
              <w:rPr>
                <w:lang w:val="fr-FR"/>
              </w:rPr>
              <w:t xml:space="preserve"> A</w:t>
            </w:r>
            <w:r w:rsidRPr="005B17F0">
              <w:t>ССАМБЛЕЯ</w:t>
            </w:r>
            <w:r w:rsidRPr="005F2240">
              <w:rPr>
                <w:lang w:val="fr-FR"/>
              </w:rPr>
              <w:t xml:space="preserve"> </w:t>
            </w:r>
            <w:r w:rsidRPr="005B17F0">
              <w:t>ЕВРОНЕСТ</w:t>
            </w:r>
          </w:p>
        </w:tc>
      </w:tr>
    </w:tbl>
    <w:p w14:paraId="2015333B" w14:textId="77777777" w:rsidR="00DC4587" w:rsidRPr="005F2240" w:rsidRDefault="00DC4587" w:rsidP="00DC4587">
      <w:pPr>
        <w:pStyle w:val="LineLogo"/>
        <w:rPr>
          <w:lang w:val="fr-FR"/>
        </w:rPr>
      </w:pPr>
    </w:p>
    <w:p w14:paraId="685B1AC0" w14:textId="77777777" w:rsidR="00DC4587" w:rsidRPr="00E87079" w:rsidRDefault="00DC4587" w:rsidP="00DC4587">
      <w:pPr>
        <w:pStyle w:val="EPBody"/>
      </w:pPr>
      <w:r w:rsidRPr="00E87079">
        <w:t>Plenary session</w:t>
      </w:r>
    </w:p>
    <w:p w14:paraId="0A1E1A0F" w14:textId="77777777" w:rsidR="00DC4587" w:rsidRPr="00E87079" w:rsidRDefault="00DC4587" w:rsidP="00DC4587">
      <w:pPr>
        <w:pStyle w:val="LineBottom"/>
      </w:pPr>
    </w:p>
    <w:p w14:paraId="3FDA70EA" w14:textId="7BC3479C" w:rsidR="00DC4587" w:rsidRPr="008C5033" w:rsidRDefault="00DC4587" w:rsidP="00DC4587">
      <w:pPr>
        <w:pStyle w:val="CoverDateNoRef"/>
        <w:rPr>
          <w:lang w:val="fr-BE"/>
        </w:rPr>
      </w:pPr>
      <w:r w:rsidRPr="008C5033">
        <w:rPr>
          <w:rStyle w:val="HideTWBExt"/>
          <w:lang w:val="fr-BE"/>
        </w:rPr>
        <w:t>&lt;Date&gt;</w:t>
      </w:r>
      <w:r w:rsidRPr="008C5033">
        <w:rPr>
          <w:rStyle w:val="HideTWBInt"/>
          <w:lang w:val="fr-BE"/>
        </w:rPr>
        <w:t>{19/02/2023}</w:t>
      </w:r>
      <w:r w:rsidR="00523A0A" w:rsidRPr="008C5033">
        <w:rPr>
          <w:lang w:val="fr-BE"/>
        </w:rPr>
        <w:t>21</w:t>
      </w:r>
      <w:r w:rsidRPr="008C5033">
        <w:rPr>
          <w:lang w:val="fr-BE"/>
        </w:rPr>
        <w:t>.2.2023</w:t>
      </w:r>
      <w:r w:rsidRPr="008C5033">
        <w:rPr>
          <w:rStyle w:val="HideTWBExt"/>
          <w:lang w:val="fr-BE"/>
        </w:rPr>
        <w:t>&lt;/Date&gt;</w:t>
      </w:r>
    </w:p>
    <w:p w14:paraId="3A2A9514" w14:textId="5B4A4E1B" w:rsidR="00DC4587" w:rsidRPr="004E4409" w:rsidRDefault="00DC4587" w:rsidP="00DC4587">
      <w:pPr>
        <w:pStyle w:val="CoverDocType24a"/>
      </w:pPr>
      <w:r w:rsidRPr="004E4409">
        <w:rPr>
          <w:rStyle w:val="HideTWBExt"/>
          <w:b w:val="0"/>
        </w:rPr>
        <w:t>&lt;TitreType&gt;</w:t>
      </w:r>
      <w:r w:rsidR="001E4331" w:rsidRPr="004E4409">
        <w:t>R</w:t>
      </w:r>
      <w:r w:rsidRPr="004E4409">
        <w:t>ESOLUTION</w:t>
      </w:r>
      <w:r w:rsidRPr="004E4409">
        <w:rPr>
          <w:rStyle w:val="HideTWBExt"/>
          <w:b w:val="0"/>
        </w:rPr>
        <w:t>&lt;/TitreType&gt;</w:t>
      </w:r>
    </w:p>
    <w:p w14:paraId="6E7F035D" w14:textId="1EA8ABE6" w:rsidR="00DC4587" w:rsidRPr="005B17F0" w:rsidRDefault="00DC4587" w:rsidP="00DC4587">
      <w:pPr>
        <w:pStyle w:val="CoverNormal24a"/>
      </w:pPr>
      <w:r w:rsidRPr="005F2240">
        <w:rPr>
          <w:rStyle w:val="HideTWBExt"/>
        </w:rPr>
        <w:t>&lt;Titre&gt;</w:t>
      </w:r>
      <w:proofErr w:type="gramStart"/>
      <w:r w:rsidRPr="005F2240">
        <w:t>on</w:t>
      </w:r>
      <w:proofErr w:type="gramEnd"/>
      <w:r w:rsidRPr="005F2240">
        <w:t xml:space="preserve"> </w:t>
      </w:r>
      <w:r>
        <w:t>supporting the p</w:t>
      </w:r>
      <w:r w:rsidRPr="00DC4587">
        <w:t xml:space="preserve">ath of Ukraine, Moldova and Georgia towards EU </w:t>
      </w:r>
      <w:r>
        <w:t>m</w:t>
      </w:r>
      <w:r w:rsidRPr="00DC4587">
        <w:t>embership</w:t>
      </w:r>
      <w:r w:rsidRPr="00DC4587">
        <w:rPr>
          <w:vanish/>
        </w:rPr>
        <w:t>&lt;/Titre&gt;</w:t>
      </w:r>
      <w:r w:rsidRPr="005B17F0">
        <w:rPr>
          <w:rStyle w:val="HideTWBExt"/>
        </w:rPr>
        <w:t>&lt;/Depute&gt;</w:t>
      </w:r>
    </w:p>
    <w:p w14:paraId="19B10A49" w14:textId="50C0D517" w:rsidR="00DC4587" w:rsidRDefault="00DC4587" w:rsidP="00DC4587">
      <w:pPr>
        <w:pStyle w:val="CoverNormal24a"/>
      </w:pPr>
    </w:p>
    <w:p w14:paraId="1E704CCD" w14:textId="637811DA" w:rsidR="00DC4587" w:rsidRPr="003D094A" w:rsidRDefault="00DC4587" w:rsidP="004D3A10">
      <w:pPr>
        <w:tabs>
          <w:tab w:val="center" w:pos="4677"/>
        </w:tabs>
        <w:rPr>
          <w:b/>
          <w:sz w:val="24"/>
          <w:szCs w:val="24"/>
          <w:lang w:val="en-GB"/>
        </w:rPr>
      </w:pPr>
      <w:r w:rsidRPr="005B17F0">
        <w:br w:type="page"/>
      </w:r>
      <w:r w:rsidRPr="003D094A">
        <w:rPr>
          <w:b/>
          <w:sz w:val="24"/>
          <w:szCs w:val="24"/>
        </w:rPr>
        <w:lastRenderedPageBreak/>
        <w:t xml:space="preserve">Resolution by the Euronest Parliamentary Assembly on </w:t>
      </w:r>
      <w:r w:rsidRPr="003D094A">
        <w:rPr>
          <w:b/>
          <w:sz w:val="24"/>
          <w:szCs w:val="24"/>
          <w:lang w:val="en-GB"/>
        </w:rPr>
        <w:t>supporting the path of Ukraine, Moldova and Georgia towards EU membership</w:t>
      </w:r>
    </w:p>
    <w:p w14:paraId="47F78C9D" w14:textId="77777777" w:rsidR="003D094A" w:rsidRDefault="003D094A" w:rsidP="00DC4587">
      <w:pPr>
        <w:rPr>
          <w:i/>
          <w:sz w:val="24"/>
          <w:szCs w:val="24"/>
        </w:rPr>
      </w:pPr>
    </w:p>
    <w:p w14:paraId="5D796C0D" w14:textId="5743328F" w:rsidR="00DC4587" w:rsidRPr="003C5A73" w:rsidRDefault="00DC4587" w:rsidP="00DC4587">
      <w:pPr>
        <w:rPr>
          <w:b/>
          <w:i/>
          <w:color w:val="000000" w:themeColor="text1"/>
        </w:rPr>
      </w:pPr>
      <w:r w:rsidRPr="003D094A">
        <w:rPr>
          <w:i/>
          <w:sz w:val="24"/>
          <w:szCs w:val="24"/>
        </w:rPr>
        <w:t>The Euronest Parliamentary Assembly</w:t>
      </w:r>
      <w:r w:rsidRPr="003C5A73">
        <w:rPr>
          <w:i/>
        </w:rPr>
        <w:t>,</w:t>
      </w:r>
    </w:p>
    <w:p w14:paraId="707027AF" w14:textId="77777777" w:rsidR="00BF5871" w:rsidRDefault="00BF5871"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sidRPr="00137465">
        <w:rPr>
          <w:rFonts w:ascii="Times New Roman" w:hAnsi="Times New Roman" w:cs="Times New Roman"/>
          <w:sz w:val="24"/>
          <w:szCs w:val="24"/>
          <w:lang w:val="en-GB"/>
        </w:rPr>
        <w:t xml:space="preserve">Noting the </w:t>
      </w:r>
      <w:r>
        <w:rPr>
          <w:rFonts w:ascii="Times New Roman" w:hAnsi="Times New Roman" w:cs="Times New Roman"/>
          <w:sz w:val="24"/>
          <w:szCs w:val="24"/>
          <w:lang w:val="en-GB"/>
        </w:rPr>
        <w:t xml:space="preserve">unwavering </w:t>
      </w:r>
      <w:r w:rsidRPr="00137465">
        <w:rPr>
          <w:rFonts w:ascii="Times New Roman" w:hAnsi="Times New Roman" w:cs="Times New Roman"/>
          <w:sz w:val="24"/>
          <w:szCs w:val="24"/>
          <w:lang w:val="en-GB"/>
        </w:rPr>
        <w:t xml:space="preserve">commitment of Moldova, Ukraine and Georgia to their </w:t>
      </w:r>
      <w:r>
        <w:rPr>
          <w:rFonts w:ascii="Times New Roman" w:hAnsi="Times New Roman" w:cs="Times New Roman"/>
          <w:sz w:val="24"/>
          <w:szCs w:val="24"/>
          <w:lang w:val="en-GB"/>
        </w:rPr>
        <w:t xml:space="preserve">EU membership goals; </w:t>
      </w:r>
    </w:p>
    <w:p w14:paraId="19AF654E" w14:textId="77777777" w:rsidR="00BF5871" w:rsidRDefault="00BF5871"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sidRPr="00137465">
        <w:rPr>
          <w:rFonts w:ascii="Times New Roman" w:hAnsi="Times New Roman" w:cs="Times New Roman"/>
          <w:sz w:val="24"/>
          <w:szCs w:val="24"/>
          <w:lang w:val="en-GB"/>
        </w:rPr>
        <w:t xml:space="preserve">having regard to the </w:t>
      </w:r>
      <w:r w:rsidRPr="00864D31">
        <w:rPr>
          <w:rFonts w:ascii="Times New Roman" w:hAnsi="Times New Roman" w:cs="Times New Roman"/>
          <w:sz w:val="24"/>
          <w:szCs w:val="24"/>
          <w:lang w:val="en-GB"/>
        </w:rPr>
        <w:t xml:space="preserve">decision by the European Council to grant EU candidate status to Ukraine and Moldova, and to </w:t>
      </w:r>
      <w:r>
        <w:rPr>
          <w:rFonts w:ascii="Times New Roman" w:hAnsi="Times New Roman" w:cs="Times New Roman"/>
          <w:sz w:val="24"/>
          <w:szCs w:val="24"/>
          <w:lang w:val="en-GB"/>
        </w:rPr>
        <w:t>recognise</w:t>
      </w:r>
      <w:r w:rsidRPr="00864D31">
        <w:rPr>
          <w:rFonts w:ascii="Times New Roman" w:hAnsi="Times New Roman" w:cs="Times New Roman"/>
          <w:sz w:val="24"/>
          <w:szCs w:val="24"/>
          <w:lang w:val="en-GB"/>
        </w:rPr>
        <w:t xml:space="preserve"> European perspectives to Georgia</w:t>
      </w:r>
      <w:r>
        <w:rPr>
          <w:rFonts w:ascii="Times New Roman" w:hAnsi="Times New Roman" w:cs="Times New Roman"/>
          <w:sz w:val="24"/>
          <w:szCs w:val="24"/>
          <w:lang w:val="en-GB"/>
        </w:rPr>
        <w:t xml:space="preserve"> </w:t>
      </w:r>
      <w:r w:rsidRPr="00864D31">
        <w:rPr>
          <w:rFonts w:ascii="Times New Roman" w:hAnsi="Times New Roman" w:cs="Times New Roman"/>
          <w:sz w:val="24"/>
          <w:szCs w:val="24"/>
          <w:lang w:val="en-GB"/>
        </w:rPr>
        <w:t>while confirming its readiness to grant the country candidate status once the priorities specified in the Commission’s opinion on its membership application have been addressed</w:t>
      </w:r>
      <w:r>
        <w:rPr>
          <w:rFonts w:ascii="Times New Roman" w:hAnsi="Times New Roman" w:cs="Times New Roman"/>
          <w:sz w:val="24"/>
          <w:szCs w:val="24"/>
          <w:lang w:val="en-GB"/>
        </w:rPr>
        <w:t xml:space="preserve">; </w:t>
      </w:r>
    </w:p>
    <w:p w14:paraId="27F801F7" w14:textId="4F1A707B" w:rsidR="00BF5871" w:rsidRDefault="00BF5871"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sidRPr="00864D31">
        <w:rPr>
          <w:rFonts w:ascii="Times New Roman" w:hAnsi="Times New Roman" w:cs="Times New Roman"/>
          <w:sz w:val="24"/>
          <w:szCs w:val="24"/>
          <w:lang w:val="en-GB"/>
        </w:rPr>
        <w:t xml:space="preserve">having regard to the EU General Affairs Council conclusions on </w:t>
      </w:r>
      <w:r>
        <w:rPr>
          <w:rFonts w:ascii="Times New Roman" w:hAnsi="Times New Roman" w:cs="Times New Roman"/>
          <w:sz w:val="24"/>
          <w:szCs w:val="24"/>
          <w:lang w:val="en-GB"/>
        </w:rPr>
        <w:t xml:space="preserve">the </w:t>
      </w:r>
      <w:r w:rsidRPr="00864D31">
        <w:rPr>
          <w:rFonts w:ascii="Times New Roman" w:hAnsi="Times New Roman" w:cs="Times New Roman"/>
          <w:sz w:val="24"/>
          <w:szCs w:val="24"/>
          <w:lang w:val="en-GB"/>
        </w:rPr>
        <w:t>Enlargement and Stabilisation and Association process of 13 December</w:t>
      </w:r>
      <w:r>
        <w:rPr>
          <w:rFonts w:ascii="Times New Roman" w:hAnsi="Times New Roman" w:cs="Times New Roman"/>
          <w:sz w:val="24"/>
          <w:szCs w:val="24"/>
          <w:lang w:val="en-GB"/>
        </w:rPr>
        <w:t xml:space="preserve"> 2022,</w:t>
      </w:r>
      <w:r w:rsidRPr="00864D31">
        <w:rPr>
          <w:rFonts w:ascii="Times New Roman" w:hAnsi="Times New Roman" w:cs="Times New Roman"/>
          <w:sz w:val="24"/>
          <w:szCs w:val="24"/>
          <w:lang w:val="en-GB"/>
        </w:rPr>
        <w:t xml:space="preserve"> reaffirming that the future of Georgia, the Republic of Moldova and Ukraine and of their citizens lies within the European Union</w:t>
      </w:r>
      <w:r>
        <w:rPr>
          <w:rFonts w:ascii="Times New Roman" w:hAnsi="Times New Roman" w:cs="Times New Roman"/>
          <w:sz w:val="24"/>
          <w:szCs w:val="24"/>
          <w:lang w:val="en-GB"/>
        </w:rPr>
        <w:t>;</w:t>
      </w:r>
    </w:p>
    <w:p w14:paraId="4459FE38" w14:textId="79887C0C" w:rsidR="00EC5B33" w:rsidRPr="00523A0A" w:rsidRDefault="00EC5B33"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sidRPr="00523A0A">
        <w:rPr>
          <w:rFonts w:ascii="Times New Roman" w:hAnsi="Times New Roman" w:cs="Times New Roman"/>
          <w:sz w:val="24"/>
          <w:szCs w:val="24"/>
        </w:rPr>
        <w:t>having regard to the European Parliament recommendation of 23 November 2</w:t>
      </w:r>
      <w:r w:rsidR="00FF54B9" w:rsidRPr="00FF54B9">
        <w:rPr>
          <w:rFonts w:ascii="Times New Roman" w:hAnsi="Times New Roman" w:cs="Times New Roman"/>
          <w:sz w:val="24"/>
          <w:szCs w:val="24"/>
          <w:lang w:val="en-GB"/>
        </w:rPr>
        <w:t>02</w:t>
      </w:r>
      <w:r w:rsidRPr="00523A0A">
        <w:rPr>
          <w:rFonts w:ascii="Times New Roman" w:hAnsi="Times New Roman" w:cs="Times New Roman"/>
          <w:sz w:val="24"/>
          <w:szCs w:val="24"/>
        </w:rPr>
        <w:t>2 to the Council, the Commission and the Vice-President of the Commission / High Representative of the Union for Foreign Affairs and Security Policy concerning the new EU strategy for enlargement;</w:t>
      </w:r>
      <w:bookmarkStart w:id="0" w:name="_GoBack"/>
      <w:bookmarkEnd w:id="0"/>
    </w:p>
    <w:p w14:paraId="768AB244" w14:textId="55FEA140" w:rsidR="00EC5B33" w:rsidRPr="00EC5B33" w:rsidRDefault="009A74A9"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sidRPr="00137465">
        <w:rPr>
          <w:rFonts w:ascii="Times New Roman" w:hAnsi="Times New Roman" w:cs="Times New Roman"/>
          <w:sz w:val="24"/>
          <w:szCs w:val="24"/>
          <w:lang w:val="en-GB"/>
        </w:rPr>
        <w:t xml:space="preserve">having regard to the Constituent Act of the </w:t>
      </w:r>
      <w:proofErr w:type="spellStart"/>
      <w:r w:rsidRPr="00137465">
        <w:rPr>
          <w:rFonts w:ascii="Times New Roman" w:hAnsi="Times New Roman" w:cs="Times New Roman"/>
          <w:sz w:val="24"/>
          <w:szCs w:val="24"/>
          <w:lang w:val="en-GB"/>
        </w:rPr>
        <w:t>Euronest</w:t>
      </w:r>
      <w:proofErr w:type="spellEnd"/>
      <w:r w:rsidRPr="00137465">
        <w:rPr>
          <w:rFonts w:ascii="Times New Roman" w:hAnsi="Times New Roman" w:cs="Times New Roman"/>
          <w:sz w:val="24"/>
          <w:szCs w:val="24"/>
          <w:lang w:val="en-GB"/>
        </w:rPr>
        <w:t xml:space="preserve"> </w:t>
      </w:r>
      <w:r w:rsidRPr="00E72A3A">
        <w:rPr>
          <w:rFonts w:ascii="Times New Roman" w:hAnsi="Times New Roman" w:cs="Times New Roman"/>
          <w:sz w:val="24"/>
          <w:szCs w:val="24"/>
          <w:lang w:val="en-GB"/>
        </w:rPr>
        <w:t>Parliamentary Assembly of 3 May 2011,</w:t>
      </w:r>
      <w:r w:rsidR="00E72A3A" w:rsidRPr="00E72A3A">
        <w:rPr>
          <w:rFonts w:ascii="Times New Roman" w:hAnsi="Times New Roman" w:cs="Times New Roman"/>
          <w:sz w:val="24"/>
          <w:szCs w:val="24"/>
          <w:lang w:val="en-GB"/>
        </w:rPr>
        <w:t xml:space="preserve"> </w:t>
      </w:r>
      <w:r w:rsidR="00E72A3A" w:rsidRPr="00E72A3A">
        <w:rPr>
          <w:rFonts w:ascii="Times New Roman" w:hAnsi="Times New Roman" w:cs="Times New Roman"/>
          <w:sz w:val="24"/>
          <w:szCs w:val="24"/>
          <w:lang w:val="en-US"/>
        </w:rPr>
        <w:t xml:space="preserve">Joint Declaration of the Eastern Partnership Summit of 15 December 2021 together with all previous </w:t>
      </w:r>
      <w:proofErr w:type="spellStart"/>
      <w:r w:rsidR="00E72A3A" w:rsidRPr="00E72A3A">
        <w:rPr>
          <w:rFonts w:ascii="Times New Roman" w:hAnsi="Times New Roman" w:cs="Times New Roman"/>
          <w:sz w:val="24"/>
          <w:szCs w:val="24"/>
          <w:lang w:val="en-US"/>
        </w:rPr>
        <w:t>EaP</w:t>
      </w:r>
      <w:proofErr w:type="spellEnd"/>
      <w:r w:rsidR="00E72A3A" w:rsidRPr="00E72A3A">
        <w:rPr>
          <w:rFonts w:ascii="Times New Roman" w:hAnsi="Times New Roman" w:cs="Times New Roman"/>
          <w:sz w:val="24"/>
          <w:szCs w:val="24"/>
          <w:lang w:val="en-US"/>
        </w:rPr>
        <w:t xml:space="preserve"> Summit Declarations</w:t>
      </w:r>
      <w:r w:rsidRPr="00137465">
        <w:rPr>
          <w:rFonts w:ascii="Times New Roman" w:hAnsi="Times New Roman" w:cs="Times New Roman"/>
          <w:sz w:val="24"/>
          <w:szCs w:val="24"/>
          <w:lang w:val="en-GB"/>
        </w:rPr>
        <w:t>, and the Association Agreements between the EU and Ukraine, Moldova, and Georgia</w:t>
      </w:r>
      <w:r w:rsidR="00BF5871">
        <w:rPr>
          <w:rFonts w:ascii="Times New Roman" w:hAnsi="Times New Roman" w:cs="Times New Roman"/>
          <w:sz w:val="24"/>
          <w:szCs w:val="24"/>
          <w:lang w:val="en-GB"/>
        </w:rPr>
        <w:t xml:space="preserve"> respectively</w:t>
      </w:r>
      <w:r w:rsidRPr="00137465">
        <w:rPr>
          <w:rFonts w:ascii="Times New Roman" w:hAnsi="Times New Roman" w:cs="Times New Roman"/>
          <w:sz w:val="24"/>
          <w:szCs w:val="24"/>
          <w:lang w:val="en-GB"/>
        </w:rPr>
        <w:t>;</w:t>
      </w:r>
    </w:p>
    <w:p w14:paraId="2AF39163" w14:textId="3D70F6A4" w:rsidR="001E1FC8" w:rsidRPr="00137465" w:rsidRDefault="001E1FC8"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sidRPr="00137465">
        <w:rPr>
          <w:rFonts w:ascii="Times New Roman" w:hAnsi="Times New Roman" w:cs="Times New Roman"/>
          <w:sz w:val="24"/>
          <w:szCs w:val="24"/>
          <w:lang w:val="en-GB"/>
        </w:rPr>
        <w:t>having regard to the candidate status for EU membership granted to Ukraine and Moldova, and the European perspective recognized for Georgia;</w:t>
      </w:r>
    </w:p>
    <w:p w14:paraId="2B6B5769" w14:textId="43DFA6FF" w:rsidR="00BD4E67" w:rsidRPr="00137465" w:rsidRDefault="009A74A9"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sidRPr="00137465">
        <w:rPr>
          <w:rFonts w:ascii="Times New Roman" w:hAnsi="Times New Roman" w:cs="Times New Roman"/>
          <w:sz w:val="24"/>
          <w:szCs w:val="24"/>
          <w:lang w:val="en-GB"/>
        </w:rPr>
        <w:t xml:space="preserve">having regard to the challenges faced by the Eastern Partnership countries willing to join the EU, </w:t>
      </w:r>
      <w:r w:rsidR="00B21433">
        <w:rPr>
          <w:rFonts w:ascii="Times New Roman" w:hAnsi="Times New Roman" w:cs="Times New Roman"/>
          <w:sz w:val="24"/>
          <w:szCs w:val="24"/>
          <w:lang w:val="en-US"/>
        </w:rPr>
        <w:t>especially Russia’s full-scale military invasion of Ukraine as well as</w:t>
      </w:r>
      <w:r w:rsidR="006A5DC5">
        <w:rPr>
          <w:rFonts w:ascii="Times New Roman" w:hAnsi="Times New Roman" w:cs="Times New Roman"/>
          <w:sz w:val="24"/>
          <w:szCs w:val="24"/>
          <w:lang w:val="en-US"/>
        </w:rPr>
        <w:t xml:space="preserve"> the</w:t>
      </w:r>
      <w:r w:rsidRPr="00137465">
        <w:rPr>
          <w:rFonts w:ascii="Times New Roman" w:hAnsi="Times New Roman" w:cs="Times New Roman"/>
          <w:sz w:val="24"/>
          <w:szCs w:val="24"/>
          <w:lang w:val="en-GB"/>
        </w:rPr>
        <w:t xml:space="preserve"> </w:t>
      </w:r>
      <w:r w:rsidR="006A5DC5">
        <w:rPr>
          <w:rFonts w:ascii="Times New Roman" w:hAnsi="Times New Roman" w:cs="Times New Roman"/>
          <w:sz w:val="24"/>
          <w:szCs w:val="24"/>
          <w:lang w:val="en-GB"/>
        </w:rPr>
        <w:t xml:space="preserve">aggression, occupation and </w:t>
      </w:r>
      <w:r w:rsidRPr="00137465">
        <w:rPr>
          <w:rFonts w:ascii="Times New Roman" w:hAnsi="Times New Roman" w:cs="Times New Roman"/>
          <w:sz w:val="24"/>
          <w:szCs w:val="24"/>
          <w:lang w:val="en-GB"/>
        </w:rPr>
        <w:t xml:space="preserve">hybrid threats posed by Russia, which aim to keep </w:t>
      </w:r>
      <w:r w:rsidR="00B21433" w:rsidRPr="00137465">
        <w:rPr>
          <w:rFonts w:ascii="Times New Roman" w:hAnsi="Times New Roman" w:cs="Times New Roman"/>
          <w:sz w:val="24"/>
          <w:szCs w:val="24"/>
          <w:lang w:val="en-GB"/>
        </w:rPr>
        <w:t>th</w:t>
      </w:r>
      <w:r w:rsidR="00B21433">
        <w:rPr>
          <w:rFonts w:ascii="Times New Roman" w:hAnsi="Times New Roman" w:cs="Times New Roman"/>
          <w:sz w:val="24"/>
          <w:szCs w:val="24"/>
          <w:lang w:val="en-GB"/>
        </w:rPr>
        <w:t>ose countries</w:t>
      </w:r>
      <w:r w:rsidR="00B21433" w:rsidRPr="00137465">
        <w:rPr>
          <w:rFonts w:ascii="Times New Roman" w:hAnsi="Times New Roman" w:cs="Times New Roman"/>
          <w:sz w:val="24"/>
          <w:szCs w:val="24"/>
          <w:lang w:val="en-GB"/>
        </w:rPr>
        <w:t xml:space="preserve"> </w:t>
      </w:r>
      <w:r w:rsidRPr="00137465">
        <w:rPr>
          <w:rFonts w:ascii="Times New Roman" w:hAnsi="Times New Roman" w:cs="Times New Roman"/>
          <w:sz w:val="24"/>
          <w:szCs w:val="24"/>
          <w:lang w:val="en-GB"/>
        </w:rPr>
        <w:t>in its sphere of influence and impede their process of EU integration;</w:t>
      </w:r>
    </w:p>
    <w:p w14:paraId="528C6629" w14:textId="50B23CD5" w:rsidR="00F74A96" w:rsidRPr="00137465" w:rsidRDefault="00DE7BCC"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F74A96" w:rsidRPr="00137465">
        <w:rPr>
          <w:rFonts w:ascii="Times New Roman" w:hAnsi="Times New Roman" w:cs="Times New Roman"/>
          <w:sz w:val="24"/>
          <w:szCs w:val="24"/>
          <w:lang w:val="en-GB"/>
        </w:rPr>
        <w:t xml:space="preserve">mphasizing the importance of the EU's continued support for the </w:t>
      </w:r>
      <w:r w:rsidR="002E4244">
        <w:rPr>
          <w:rFonts w:ascii="Times New Roman" w:hAnsi="Times New Roman" w:cs="Times New Roman"/>
          <w:sz w:val="24"/>
          <w:szCs w:val="24"/>
          <w:lang w:val="en-GB"/>
        </w:rPr>
        <w:t>A</w:t>
      </w:r>
      <w:r>
        <w:rPr>
          <w:rFonts w:ascii="Times New Roman" w:hAnsi="Times New Roman" w:cs="Times New Roman"/>
          <w:sz w:val="24"/>
          <w:szCs w:val="24"/>
          <w:lang w:val="en-GB"/>
        </w:rPr>
        <w:t>ssociated</w:t>
      </w:r>
      <w:r w:rsidR="00F74A96" w:rsidRPr="00137465">
        <w:rPr>
          <w:rFonts w:ascii="Times New Roman" w:hAnsi="Times New Roman" w:cs="Times New Roman"/>
          <w:sz w:val="24"/>
          <w:szCs w:val="24"/>
          <w:lang w:val="en-GB"/>
        </w:rPr>
        <w:t xml:space="preserve"> </w:t>
      </w:r>
      <w:r w:rsidR="002E4244">
        <w:rPr>
          <w:rFonts w:ascii="Times New Roman" w:hAnsi="Times New Roman" w:cs="Times New Roman"/>
          <w:sz w:val="24"/>
          <w:szCs w:val="24"/>
          <w:lang w:val="en-GB"/>
        </w:rPr>
        <w:t>C</w:t>
      </w:r>
      <w:r w:rsidR="00F74A96" w:rsidRPr="00137465">
        <w:rPr>
          <w:rFonts w:ascii="Times New Roman" w:hAnsi="Times New Roman" w:cs="Times New Roman"/>
          <w:sz w:val="24"/>
          <w:szCs w:val="24"/>
          <w:lang w:val="en-GB"/>
        </w:rPr>
        <w:t>ountries in their reform efforts</w:t>
      </w:r>
      <w:r>
        <w:rPr>
          <w:rFonts w:ascii="Times New Roman" w:hAnsi="Times New Roman" w:cs="Times New Roman"/>
          <w:sz w:val="24"/>
          <w:szCs w:val="24"/>
          <w:lang w:val="en-GB"/>
        </w:rPr>
        <w:t>;</w:t>
      </w:r>
      <w:r w:rsidR="00F74A96" w:rsidRPr="00137465">
        <w:rPr>
          <w:rFonts w:ascii="Times New Roman" w:hAnsi="Times New Roman" w:cs="Times New Roman"/>
          <w:sz w:val="24"/>
          <w:szCs w:val="24"/>
          <w:lang w:val="en-GB"/>
        </w:rPr>
        <w:t xml:space="preserve"> </w:t>
      </w:r>
    </w:p>
    <w:p w14:paraId="472DD643" w14:textId="60D48F1E" w:rsidR="00F74A96" w:rsidRPr="00DC4587" w:rsidRDefault="00F61F94" w:rsidP="00523A0A">
      <w:pPr>
        <w:pStyle w:val="ListParagraph"/>
        <w:numPr>
          <w:ilvl w:val="0"/>
          <w:numId w:val="6"/>
        </w:numPr>
        <w:spacing w:before="160" w:line="276" w:lineRule="auto"/>
        <w:ind w:left="284" w:hanging="284"/>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F74A96" w:rsidRPr="00137465">
        <w:rPr>
          <w:rFonts w:ascii="Times New Roman" w:hAnsi="Times New Roman" w:cs="Times New Roman"/>
          <w:sz w:val="24"/>
          <w:szCs w:val="24"/>
          <w:lang w:val="en-GB"/>
        </w:rPr>
        <w:t xml:space="preserve">indful of the transformative power of the European Union’s enlargement policy, and the </w:t>
      </w:r>
      <w:r w:rsidR="00F74A96" w:rsidRPr="00DC4587">
        <w:rPr>
          <w:rFonts w:ascii="Times New Roman" w:hAnsi="Times New Roman" w:cs="Times New Roman"/>
          <w:sz w:val="24"/>
          <w:szCs w:val="24"/>
          <w:lang w:val="en-GB"/>
        </w:rPr>
        <w:t xml:space="preserve">important role it plays </w:t>
      </w:r>
      <w:r w:rsidR="00A655C2" w:rsidRPr="00DC4587">
        <w:rPr>
          <w:rFonts w:ascii="Times New Roman" w:hAnsi="Times New Roman" w:cs="Times New Roman"/>
          <w:sz w:val="24"/>
          <w:szCs w:val="24"/>
          <w:lang w:val="en-GB"/>
        </w:rPr>
        <w:t>as a strategic investment in peace, democracy, prosperity, security and stability in Europe,</w:t>
      </w:r>
    </w:p>
    <w:p w14:paraId="004889AF" w14:textId="1CB36557"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GB" w:eastAsia="ro-MD"/>
        </w:rPr>
        <w:t>e</w:t>
      </w:r>
      <w:r w:rsidR="004B7BBC" w:rsidRPr="00523A0A">
        <w:rPr>
          <w:rFonts w:ascii="Times New Roman" w:hAnsi="Times New Roman" w:cs="Times New Roman"/>
          <w:sz w:val="24"/>
          <w:szCs w:val="24"/>
          <w:lang w:val="en-GB" w:eastAsia="ro-MD"/>
        </w:rPr>
        <w:t xml:space="preserve">mphasises that today </w:t>
      </w:r>
      <w:r w:rsidR="00B15888" w:rsidRPr="00523A0A">
        <w:rPr>
          <w:rFonts w:ascii="Times New Roman" w:hAnsi="Times New Roman" w:cs="Times New Roman"/>
          <w:sz w:val="24"/>
          <w:szCs w:val="24"/>
          <w:lang w:val="en-GB" w:eastAsia="ro-MD"/>
        </w:rPr>
        <w:t xml:space="preserve">the </w:t>
      </w:r>
      <w:r w:rsidR="004B7BBC" w:rsidRPr="00523A0A">
        <w:rPr>
          <w:rFonts w:ascii="Times New Roman" w:hAnsi="Times New Roman" w:cs="Times New Roman"/>
          <w:sz w:val="24"/>
          <w:szCs w:val="24"/>
          <w:lang w:val="en-GB" w:eastAsia="ro-MD"/>
        </w:rPr>
        <w:t>Europe</w:t>
      </w:r>
      <w:r w:rsidR="00B15888" w:rsidRPr="00523A0A">
        <w:rPr>
          <w:rFonts w:ascii="Times New Roman" w:hAnsi="Times New Roman" w:cs="Times New Roman"/>
          <w:sz w:val="24"/>
          <w:szCs w:val="24"/>
          <w:lang w:val="en-GB" w:eastAsia="ro-MD"/>
        </w:rPr>
        <w:t>an Union</w:t>
      </w:r>
      <w:r w:rsidR="00BF7490" w:rsidRPr="00523A0A">
        <w:rPr>
          <w:rFonts w:ascii="Times New Roman" w:hAnsi="Times New Roman" w:cs="Times New Roman"/>
          <w:sz w:val="24"/>
          <w:szCs w:val="24"/>
          <w:lang w:val="en-GB" w:eastAsia="ro-MD"/>
        </w:rPr>
        <w:t xml:space="preserve"> and the Eastern Partnership countries</w:t>
      </w:r>
      <w:r w:rsidR="004B7BBC" w:rsidRPr="00523A0A">
        <w:rPr>
          <w:rFonts w:ascii="Times New Roman" w:hAnsi="Times New Roman" w:cs="Times New Roman"/>
          <w:sz w:val="24"/>
          <w:szCs w:val="24"/>
          <w:lang w:val="en-GB" w:eastAsia="ro-MD"/>
        </w:rPr>
        <w:t xml:space="preserve"> find </w:t>
      </w:r>
      <w:r w:rsidR="00BF7490" w:rsidRPr="00523A0A">
        <w:rPr>
          <w:rFonts w:ascii="Times New Roman" w:hAnsi="Times New Roman" w:cs="Times New Roman"/>
          <w:sz w:val="24"/>
          <w:szCs w:val="24"/>
          <w:lang w:val="en-GB" w:eastAsia="ro-MD"/>
        </w:rPr>
        <w:t>themselves</w:t>
      </w:r>
      <w:r w:rsidR="004B7BBC" w:rsidRPr="00523A0A">
        <w:rPr>
          <w:rFonts w:ascii="Times New Roman" w:hAnsi="Times New Roman" w:cs="Times New Roman"/>
          <w:sz w:val="24"/>
          <w:szCs w:val="24"/>
          <w:lang w:val="en-GB" w:eastAsia="ro-MD"/>
        </w:rPr>
        <w:t xml:space="preserve"> at a </w:t>
      </w:r>
      <w:r w:rsidR="00BF7490" w:rsidRPr="00523A0A">
        <w:rPr>
          <w:rFonts w:ascii="Times New Roman" w:hAnsi="Times New Roman" w:cs="Times New Roman"/>
          <w:sz w:val="24"/>
          <w:szCs w:val="24"/>
          <w:lang w:val="en-GB" w:eastAsia="ro-MD"/>
        </w:rPr>
        <w:t>critical</w:t>
      </w:r>
      <w:r w:rsidR="004B7BBC" w:rsidRPr="00523A0A">
        <w:rPr>
          <w:rFonts w:ascii="Times New Roman" w:hAnsi="Times New Roman" w:cs="Times New Roman"/>
          <w:sz w:val="24"/>
          <w:szCs w:val="24"/>
          <w:lang w:val="en-GB" w:eastAsia="ro-MD"/>
        </w:rPr>
        <w:t xml:space="preserve"> juncture for th</w:t>
      </w:r>
      <w:r w:rsidR="00BF7490" w:rsidRPr="00523A0A">
        <w:rPr>
          <w:rFonts w:ascii="Times New Roman" w:hAnsi="Times New Roman" w:cs="Times New Roman"/>
          <w:sz w:val="24"/>
          <w:szCs w:val="24"/>
          <w:lang w:val="en-GB" w:eastAsia="ro-MD"/>
        </w:rPr>
        <w:t>e</w:t>
      </w:r>
      <w:r w:rsidR="004B7BBC" w:rsidRPr="00523A0A">
        <w:rPr>
          <w:rFonts w:ascii="Times New Roman" w:hAnsi="Times New Roman" w:cs="Times New Roman"/>
          <w:sz w:val="24"/>
          <w:szCs w:val="24"/>
          <w:lang w:val="en-GB" w:eastAsia="ro-MD"/>
        </w:rPr>
        <w:t xml:space="preserve"> European security architecture and the international rules-based order</w:t>
      </w:r>
      <w:r w:rsidRPr="00523A0A">
        <w:rPr>
          <w:rFonts w:ascii="Times New Roman" w:hAnsi="Times New Roman" w:cs="Times New Roman"/>
          <w:sz w:val="24"/>
          <w:szCs w:val="24"/>
          <w:lang w:val="en-GB" w:eastAsia="ro-MD"/>
        </w:rPr>
        <w:t>;</w:t>
      </w:r>
    </w:p>
    <w:p w14:paraId="29438B88"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34D1C9FA" w14:textId="3747B56A"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proofErr w:type="gramStart"/>
      <w:r w:rsidRPr="00523A0A">
        <w:rPr>
          <w:rFonts w:ascii="Times New Roman" w:hAnsi="Times New Roman" w:cs="Times New Roman"/>
          <w:sz w:val="24"/>
          <w:szCs w:val="24"/>
          <w:lang w:val="en-US" w:eastAsia="ro-MD"/>
        </w:rPr>
        <w:lastRenderedPageBreak/>
        <w:t>r</w:t>
      </w:r>
      <w:r w:rsidR="00476E06" w:rsidRPr="00523A0A">
        <w:rPr>
          <w:rFonts w:ascii="Times New Roman" w:hAnsi="Times New Roman" w:cs="Times New Roman"/>
          <w:sz w:val="24"/>
          <w:szCs w:val="24"/>
          <w:lang w:val="en-US" w:eastAsia="ro-MD"/>
        </w:rPr>
        <w:t>eiterates</w:t>
      </w:r>
      <w:proofErr w:type="gramEnd"/>
      <w:r w:rsidR="00476E06" w:rsidRPr="00523A0A">
        <w:rPr>
          <w:rFonts w:ascii="Times New Roman" w:hAnsi="Times New Roman" w:cs="Times New Roman"/>
          <w:sz w:val="24"/>
          <w:szCs w:val="24"/>
          <w:lang w:val="en-US" w:eastAsia="ro-MD"/>
        </w:rPr>
        <w:t xml:space="preserve"> its condemnation, in the strongest possible terms, of the Russian Federation’s war of aggression against Ukraine</w:t>
      </w:r>
      <w:r w:rsidR="00DB713D" w:rsidRPr="00523A0A">
        <w:rPr>
          <w:rFonts w:ascii="Times New Roman" w:hAnsi="Times New Roman" w:cs="Times New Roman"/>
          <w:sz w:val="24"/>
          <w:szCs w:val="24"/>
          <w:lang w:val="en-GB" w:eastAsia="ro-MD"/>
        </w:rPr>
        <w:t>.</w:t>
      </w:r>
      <w:r w:rsidR="00476E06" w:rsidRPr="00523A0A">
        <w:rPr>
          <w:rFonts w:ascii="Times New Roman" w:hAnsi="Times New Roman" w:cs="Times New Roman"/>
          <w:sz w:val="24"/>
          <w:szCs w:val="24"/>
          <w:lang w:val="en-US"/>
        </w:rPr>
        <w:t xml:space="preserve"> </w:t>
      </w:r>
      <w:r w:rsidR="00476E06" w:rsidRPr="00523A0A">
        <w:rPr>
          <w:rFonts w:ascii="Times New Roman" w:hAnsi="Times New Roman" w:cs="Times New Roman"/>
          <w:sz w:val="24"/>
          <w:szCs w:val="24"/>
          <w:lang w:val="en-US" w:eastAsia="ro-MD"/>
        </w:rPr>
        <w:t>Reaffirms its unwavering solidarity with the people of Ukraine, who continue proving extraordinary courage and resilience under the unabated threats and attacks since 24 February 2022</w:t>
      </w:r>
      <w:r w:rsidRPr="00523A0A">
        <w:rPr>
          <w:rFonts w:ascii="Times New Roman" w:hAnsi="Times New Roman" w:cs="Times New Roman"/>
          <w:sz w:val="24"/>
          <w:szCs w:val="24"/>
          <w:lang w:val="en-US" w:eastAsia="ro-MD"/>
        </w:rPr>
        <w:t>;</w:t>
      </w:r>
    </w:p>
    <w:p w14:paraId="55076751"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2B8F5EC9" w14:textId="72BA3181"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GB" w:eastAsia="ro-MD"/>
        </w:rPr>
        <w:t>r</w:t>
      </w:r>
      <w:r w:rsidR="002E253D" w:rsidRPr="00523A0A">
        <w:rPr>
          <w:rFonts w:ascii="Times New Roman" w:hAnsi="Times New Roman" w:cs="Times New Roman"/>
          <w:sz w:val="24"/>
          <w:szCs w:val="24"/>
          <w:lang w:val="en-GB" w:eastAsia="ro-MD"/>
        </w:rPr>
        <w:t>eiterates its deep concern over Russia’s occupation of Georgia’s indivisible regions of Abkhazia and Tskhinvali region/South Ossetia, intensified annexation process and first attempt to forcibly change the borders o</w:t>
      </w:r>
      <w:r w:rsidRPr="00523A0A">
        <w:rPr>
          <w:rFonts w:ascii="Times New Roman" w:hAnsi="Times New Roman" w:cs="Times New Roman"/>
          <w:sz w:val="24"/>
          <w:szCs w:val="24"/>
          <w:lang w:val="en-GB" w:eastAsia="ro-MD"/>
        </w:rPr>
        <w:t>f the sovereign state in Europe;</w:t>
      </w:r>
    </w:p>
    <w:p w14:paraId="6C0A1F5E"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61D0B5B7" w14:textId="0AACC960" w:rsidR="00DC4587" w:rsidRPr="00523A0A" w:rsidRDefault="00523A0A"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GB"/>
        </w:rPr>
        <w:t>r</w:t>
      </w:r>
      <w:r w:rsidR="00EC5B33" w:rsidRPr="00523A0A">
        <w:rPr>
          <w:rFonts w:ascii="Times New Roman" w:hAnsi="Times New Roman" w:cs="Times New Roman"/>
          <w:sz w:val="24"/>
          <w:szCs w:val="24"/>
        </w:rPr>
        <w:t>eiterates its commitment to the independence, sovereignty and territorial integrity of Ukraine, the Republic of Moldova and Georgian within their internationally recognised borders and supports their efforts to fully enforce those principles;</w:t>
      </w:r>
    </w:p>
    <w:p w14:paraId="02086F06"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0F04DC70" w14:textId="0D4408AF" w:rsidR="00DC4587" w:rsidRPr="00523A0A"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Pr>
          <w:rFonts w:ascii="Times New Roman" w:hAnsi="Times New Roman" w:cs="Times New Roman"/>
          <w:sz w:val="24"/>
          <w:szCs w:val="24"/>
          <w:lang w:val="en-US"/>
        </w:rPr>
        <w:t>d</w:t>
      </w:r>
      <w:r w:rsidR="00EC5B33" w:rsidRPr="00523A0A">
        <w:rPr>
          <w:rFonts w:ascii="Times New Roman" w:hAnsi="Times New Roman" w:cs="Times New Roman"/>
          <w:sz w:val="24"/>
          <w:szCs w:val="24"/>
        </w:rPr>
        <w:t>emands that Russia immediately terminate all military activities in Ukraine and unconditionally withdraw all forces, proxies and military equipment from the internationally recognised territory of Ukraine and permanently cease threatening or violating its independence, sovereignty and territorial integrity;</w:t>
      </w:r>
    </w:p>
    <w:p w14:paraId="298689FB"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657EE9C9" w14:textId="58C8F98F" w:rsidR="00DC4587" w:rsidRPr="00DA4DDD"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Pr>
          <w:rFonts w:ascii="Times New Roman" w:hAnsi="Times New Roman" w:cs="Times New Roman"/>
          <w:sz w:val="24"/>
          <w:szCs w:val="24"/>
          <w:lang w:val="en-US"/>
        </w:rPr>
        <w:t>c</w:t>
      </w:r>
      <w:r w:rsidR="00EC5B33" w:rsidRPr="00523A0A">
        <w:rPr>
          <w:rFonts w:ascii="Times New Roman" w:hAnsi="Times New Roman" w:cs="Times New Roman"/>
          <w:sz w:val="24"/>
          <w:szCs w:val="24"/>
        </w:rPr>
        <w:t xml:space="preserve">alls on the EU </w:t>
      </w:r>
      <w:r w:rsidR="00EC5B33" w:rsidRPr="00DA4DDD">
        <w:rPr>
          <w:rFonts w:ascii="Times New Roman" w:hAnsi="Times New Roman" w:cs="Times New Roman"/>
          <w:sz w:val="24"/>
          <w:szCs w:val="24"/>
        </w:rPr>
        <w:t>and its Member States as well as on the Eastern Partnership countries to cooperate as closely as possible to stop Russia’s war of aggression against Ukraine, deter any further Russia</w:t>
      </w:r>
      <w:r w:rsidR="003133DA" w:rsidRPr="003133DA">
        <w:rPr>
          <w:rFonts w:ascii="Times New Roman" w:hAnsi="Times New Roman" w:cs="Times New Roman"/>
          <w:sz w:val="24"/>
          <w:szCs w:val="24"/>
          <w:lang w:val="en-GB"/>
        </w:rPr>
        <w:t>n</w:t>
      </w:r>
      <w:r w:rsidR="00EC5B33" w:rsidRPr="00DA4DDD">
        <w:rPr>
          <w:rFonts w:ascii="Times New Roman" w:hAnsi="Times New Roman" w:cs="Times New Roman"/>
          <w:sz w:val="24"/>
          <w:szCs w:val="24"/>
        </w:rPr>
        <w:t xml:space="preserve"> aggressions and protect the European peace and security order;</w:t>
      </w:r>
    </w:p>
    <w:p w14:paraId="4BEE7184" w14:textId="77777777" w:rsidR="00DC4587" w:rsidRPr="00DA4DDD"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075F10D4" w14:textId="2B413710"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eastAsia="ro-MD"/>
        </w:rPr>
        <w:t>c</w:t>
      </w:r>
      <w:proofErr w:type="spellStart"/>
      <w:r w:rsidR="00772C0B" w:rsidRPr="00523A0A">
        <w:rPr>
          <w:rFonts w:ascii="Times New Roman" w:hAnsi="Times New Roman" w:cs="Times New Roman"/>
          <w:sz w:val="24"/>
          <w:szCs w:val="24"/>
          <w:lang w:val="en-GB" w:eastAsia="ro-MD"/>
        </w:rPr>
        <w:t>alls</w:t>
      </w:r>
      <w:proofErr w:type="spellEnd"/>
      <w:r w:rsidR="00772C0B" w:rsidRPr="00523A0A">
        <w:rPr>
          <w:rFonts w:ascii="Times New Roman" w:hAnsi="Times New Roman" w:cs="Times New Roman"/>
          <w:sz w:val="24"/>
          <w:szCs w:val="24"/>
          <w:lang w:val="en-GB" w:eastAsia="ro-MD"/>
        </w:rPr>
        <w:t xml:space="preserve"> on all parties to respect the sovereignty and territorial integrity of </w:t>
      </w:r>
      <w:r w:rsidR="0075153B" w:rsidRPr="00523A0A">
        <w:rPr>
          <w:rFonts w:ascii="Times New Roman" w:hAnsi="Times New Roman" w:cs="Times New Roman"/>
          <w:sz w:val="24"/>
          <w:szCs w:val="24"/>
          <w:lang w:val="en-GB" w:eastAsia="ro-MD"/>
        </w:rPr>
        <w:t xml:space="preserve">Georgia, Moldova and </w:t>
      </w:r>
      <w:r w:rsidR="00772C0B" w:rsidRPr="00523A0A">
        <w:rPr>
          <w:rFonts w:ascii="Times New Roman" w:hAnsi="Times New Roman" w:cs="Times New Roman"/>
          <w:sz w:val="24"/>
          <w:szCs w:val="24"/>
          <w:lang w:val="en-GB" w:eastAsia="ro-MD"/>
        </w:rPr>
        <w:t>Ukraine, deter Russian aggressio</w:t>
      </w:r>
      <w:r w:rsidRPr="00523A0A">
        <w:rPr>
          <w:rFonts w:ascii="Times New Roman" w:hAnsi="Times New Roman" w:cs="Times New Roman"/>
          <w:sz w:val="24"/>
          <w:szCs w:val="24"/>
          <w:lang w:val="en-GB" w:eastAsia="ro-MD"/>
        </w:rPr>
        <w:t>n and protect European security;</w:t>
      </w:r>
    </w:p>
    <w:p w14:paraId="631C4C31"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639FCB29" w14:textId="568E8A27"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eastAsia="ro-MD"/>
        </w:rPr>
        <w:t>r</w:t>
      </w:r>
      <w:proofErr w:type="spellStart"/>
      <w:r w:rsidR="00F61F94" w:rsidRPr="00523A0A">
        <w:rPr>
          <w:rFonts w:ascii="Times New Roman" w:hAnsi="Times New Roman" w:cs="Times New Roman"/>
          <w:sz w:val="24"/>
          <w:szCs w:val="24"/>
          <w:lang w:val="en-GB" w:eastAsia="ro-MD"/>
        </w:rPr>
        <w:t>ecognizes</w:t>
      </w:r>
      <w:proofErr w:type="spellEnd"/>
      <w:r w:rsidR="00B912F2" w:rsidRPr="00523A0A">
        <w:rPr>
          <w:rFonts w:ascii="Times New Roman" w:hAnsi="Times New Roman" w:cs="Times New Roman"/>
          <w:sz w:val="24"/>
          <w:szCs w:val="24"/>
          <w:lang w:val="en-GB" w:eastAsia="ro-MD"/>
        </w:rPr>
        <w:t xml:space="preserve"> the commitment of the people of these countries to their European future, and their contributions to stabi</w:t>
      </w:r>
      <w:r w:rsidRPr="00523A0A">
        <w:rPr>
          <w:rFonts w:ascii="Times New Roman" w:hAnsi="Times New Roman" w:cs="Times New Roman"/>
          <w:sz w:val="24"/>
          <w:szCs w:val="24"/>
          <w:lang w:val="en-GB" w:eastAsia="ro-MD"/>
        </w:rPr>
        <w:t>lity and security in the region;</w:t>
      </w:r>
    </w:p>
    <w:p w14:paraId="31FF3C64"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0E536197" w14:textId="4C3788FE" w:rsidR="00DC4587" w:rsidRPr="00523A0A"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Pr>
          <w:rFonts w:ascii="Times New Roman" w:hAnsi="Times New Roman" w:cs="Times New Roman"/>
          <w:sz w:val="24"/>
          <w:szCs w:val="24"/>
          <w:lang w:val="en-US"/>
        </w:rPr>
        <w:t>c</w:t>
      </w:r>
      <w:r w:rsidR="00EC5B33" w:rsidRPr="00523A0A">
        <w:rPr>
          <w:rFonts w:ascii="Times New Roman" w:hAnsi="Times New Roman" w:cs="Times New Roman"/>
          <w:sz w:val="24"/>
          <w:szCs w:val="24"/>
        </w:rPr>
        <w:t>ommends the efforts of Ukraine, Moldova and Georgia in implementing reforms, and encourages them to continue on this path;</w:t>
      </w:r>
    </w:p>
    <w:p w14:paraId="62F3F14A"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7217553E" w14:textId="0FD59120" w:rsidR="00DC4587" w:rsidRPr="00DA4DDD"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GB"/>
        </w:rPr>
        <w:t>u</w:t>
      </w:r>
      <w:r w:rsidR="00DA62FE" w:rsidRPr="00523A0A">
        <w:rPr>
          <w:rFonts w:ascii="Times New Roman" w:hAnsi="Times New Roman" w:cs="Times New Roman"/>
          <w:sz w:val="24"/>
          <w:szCs w:val="24"/>
          <w:lang w:val="en-GB"/>
        </w:rPr>
        <w:t>rges their governments to continue efforts to fight corruption and ensure th</w:t>
      </w:r>
      <w:r w:rsidRPr="00523A0A">
        <w:rPr>
          <w:rFonts w:ascii="Times New Roman" w:hAnsi="Times New Roman" w:cs="Times New Roman"/>
          <w:sz w:val="24"/>
          <w:szCs w:val="24"/>
          <w:lang w:val="en-GB"/>
        </w:rPr>
        <w:t>e independence of the judiciary;</w:t>
      </w:r>
    </w:p>
    <w:p w14:paraId="0F2D200A" w14:textId="77777777" w:rsidR="00DA4DDD" w:rsidRPr="00523A0A" w:rsidRDefault="00DA4DDD" w:rsidP="00DA4DDD">
      <w:pPr>
        <w:pStyle w:val="ListParagraph"/>
        <w:spacing w:before="160" w:line="276" w:lineRule="auto"/>
        <w:ind w:left="360"/>
        <w:jc w:val="both"/>
        <w:rPr>
          <w:rFonts w:ascii="Times New Roman" w:hAnsi="Times New Roman" w:cs="Times New Roman"/>
          <w:sz w:val="24"/>
          <w:szCs w:val="24"/>
          <w:lang w:val="en-US" w:eastAsia="ro-MD"/>
        </w:rPr>
      </w:pPr>
    </w:p>
    <w:p w14:paraId="7D1455C4" w14:textId="56A12E22" w:rsidR="00EC5B33" w:rsidRPr="00DA4DDD"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DA4DDD">
        <w:rPr>
          <w:rFonts w:ascii="Times New Roman" w:hAnsi="Times New Roman" w:cs="Times New Roman"/>
          <w:sz w:val="24"/>
          <w:szCs w:val="24"/>
          <w:lang w:val="en-GB"/>
        </w:rPr>
        <w:t>u</w:t>
      </w:r>
      <w:r w:rsidR="00EC5B33" w:rsidRPr="00DA4DDD">
        <w:rPr>
          <w:rFonts w:ascii="Times New Roman" w:hAnsi="Times New Roman" w:cs="Times New Roman"/>
          <w:sz w:val="24"/>
          <w:szCs w:val="24"/>
        </w:rPr>
        <w:t>nderlines the importance of fostering a culture of political pluralism and inclusion, as well as constructive political dialogue and parliamentary functions with regard to legislation, scrutiny and oversight;</w:t>
      </w:r>
    </w:p>
    <w:p w14:paraId="77F88D0F"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4A5C7160" w14:textId="77777777"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rPr>
        <w:t>s</w:t>
      </w:r>
      <w:proofErr w:type="spellStart"/>
      <w:r w:rsidR="00DA62FE" w:rsidRPr="00523A0A">
        <w:rPr>
          <w:rFonts w:ascii="Times New Roman" w:hAnsi="Times New Roman" w:cs="Times New Roman"/>
          <w:sz w:val="24"/>
          <w:szCs w:val="24"/>
          <w:lang w:val="en-GB"/>
        </w:rPr>
        <w:t>tresses</w:t>
      </w:r>
      <w:proofErr w:type="spellEnd"/>
      <w:r w:rsidR="00DA62FE" w:rsidRPr="00523A0A">
        <w:rPr>
          <w:rFonts w:ascii="Times New Roman" w:hAnsi="Times New Roman" w:cs="Times New Roman"/>
          <w:sz w:val="24"/>
          <w:szCs w:val="24"/>
          <w:lang w:val="en-GB"/>
        </w:rPr>
        <w:t xml:space="preserve"> the importance of good governance, the rule of law and fostering strong civil society and free media as essential elemen</w:t>
      </w:r>
      <w:r w:rsidRPr="00523A0A">
        <w:rPr>
          <w:rFonts w:ascii="Times New Roman" w:hAnsi="Times New Roman" w:cs="Times New Roman"/>
          <w:sz w:val="24"/>
          <w:szCs w:val="24"/>
          <w:lang w:val="en-GB"/>
        </w:rPr>
        <w:t>ts for the EU accession process;</w:t>
      </w:r>
    </w:p>
    <w:p w14:paraId="2DC6CDF7"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64664284" w14:textId="0EB2E6C8" w:rsidR="00DC4587" w:rsidRPr="00DA4DDD"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rPr>
        <w:t>e</w:t>
      </w:r>
      <w:proofErr w:type="spellStart"/>
      <w:r w:rsidR="00AB1386" w:rsidRPr="00523A0A">
        <w:rPr>
          <w:rFonts w:ascii="Times New Roman" w:hAnsi="Times New Roman" w:cs="Times New Roman"/>
          <w:sz w:val="24"/>
          <w:szCs w:val="24"/>
          <w:lang w:val="en-GB" w:eastAsia="ro-MD"/>
        </w:rPr>
        <w:t>xpresses</w:t>
      </w:r>
      <w:proofErr w:type="spellEnd"/>
      <w:r w:rsidR="00AB1386" w:rsidRPr="00523A0A">
        <w:rPr>
          <w:rFonts w:ascii="Times New Roman" w:hAnsi="Times New Roman" w:cs="Times New Roman"/>
          <w:sz w:val="24"/>
          <w:szCs w:val="24"/>
          <w:lang w:val="en-GB" w:eastAsia="ro-MD"/>
        </w:rPr>
        <w:t xml:space="preserve"> its strong support for the </w:t>
      </w:r>
      <w:r w:rsidR="00221E9E" w:rsidRPr="00523A0A">
        <w:rPr>
          <w:rFonts w:ascii="Times New Roman" w:hAnsi="Times New Roman" w:cs="Times New Roman"/>
          <w:sz w:val="24"/>
          <w:szCs w:val="24"/>
          <w:lang w:val="en-GB" w:eastAsia="ro-MD"/>
        </w:rPr>
        <w:t xml:space="preserve">commitment </w:t>
      </w:r>
      <w:r w:rsidR="00AB1386" w:rsidRPr="00523A0A">
        <w:rPr>
          <w:rFonts w:ascii="Times New Roman" w:hAnsi="Times New Roman" w:cs="Times New Roman"/>
          <w:sz w:val="24"/>
          <w:szCs w:val="24"/>
          <w:lang w:val="en-GB" w:eastAsia="ro-MD"/>
        </w:rPr>
        <w:t>of Ukraine, Moldova and Georgia to join the European Union, and their right to determine their own futu</w:t>
      </w:r>
      <w:r w:rsidRPr="00523A0A">
        <w:rPr>
          <w:rFonts w:ascii="Times New Roman" w:hAnsi="Times New Roman" w:cs="Times New Roman"/>
          <w:sz w:val="24"/>
          <w:szCs w:val="24"/>
          <w:lang w:val="en-GB" w:eastAsia="ro-MD"/>
        </w:rPr>
        <w:t>re through democratic processes;</w:t>
      </w:r>
    </w:p>
    <w:p w14:paraId="004C3438" w14:textId="77777777" w:rsidR="00DA4DDD" w:rsidRPr="00523A0A" w:rsidRDefault="00DA4DDD" w:rsidP="00DA4DDD">
      <w:pPr>
        <w:pStyle w:val="ListParagraph"/>
        <w:spacing w:before="160" w:line="276" w:lineRule="auto"/>
        <w:ind w:left="360"/>
        <w:jc w:val="both"/>
        <w:rPr>
          <w:rFonts w:ascii="Times New Roman" w:hAnsi="Times New Roman" w:cs="Times New Roman"/>
          <w:sz w:val="24"/>
          <w:szCs w:val="24"/>
          <w:lang w:val="en-US" w:eastAsia="ro-MD"/>
        </w:rPr>
      </w:pPr>
    </w:p>
    <w:p w14:paraId="60F3C4E5" w14:textId="63E0D3F0" w:rsidR="00EC5B33" w:rsidRPr="00DA4DDD" w:rsidRDefault="00EC5B33"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DA4DDD">
        <w:rPr>
          <w:rFonts w:ascii="Times New Roman" w:hAnsi="Times New Roman" w:cs="Times New Roman"/>
          <w:sz w:val="24"/>
          <w:szCs w:val="24"/>
        </w:rPr>
        <w:lastRenderedPageBreak/>
        <w:t xml:space="preserve"> </w:t>
      </w:r>
      <w:r w:rsidR="00DA4DDD">
        <w:rPr>
          <w:rFonts w:ascii="Times New Roman" w:hAnsi="Times New Roman" w:cs="Times New Roman"/>
          <w:sz w:val="24"/>
          <w:szCs w:val="24"/>
        </w:rPr>
        <w:t>u</w:t>
      </w:r>
      <w:r w:rsidRPr="00DA4DDD">
        <w:rPr>
          <w:rFonts w:ascii="Times New Roman" w:hAnsi="Times New Roman" w:cs="Times New Roman"/>
          <w:sz w:val="24"/>
          <w:szCs w:val="24"/>
        </w:rPr>
        <w:t>nderlines the importance of full implementation of the key priorities indicated by the Commission in its opinions on Ukraine’s, Moldova’s and Georgia’s applications for membership of the European Union and endorsed by the European Council;</w:t>
      </w:r>
    </w:p>
    <w:p w14:paraId="0FC6C9EF"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6B99964B" w14:textId="0AFC2904" w:rsidR="00DC4587" w:rsidRPr="00DA4DDD"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DA4DDD">
        <w:rPr>
          <w:rFonts w:ascii="Times New Roman" w:hAnsi="Times New Roman" w:cs="Times New Roman"/>
          <w:sz w:val="24"/>
          <w:szCs w:val="24"/>
          <w:lang w:val="en-GB"/>
        </w:rPr>
        <w:t>e</w:t>
      </w:r>
      <w:r w:rsidR="00EC5B33" w:rsidRPr="00523A0A">
        <w:rPr>
          <w:rFonts w:ascii="Times New Roman" w:hAnsi="Times New Roman" w:cs="Times New Roman"/>
          <w:sz w:val="24"/>
          <w:szCs w:val="24"/>
        </w:rPr>
        <w:t xml:space="preserve">ncourages the European Commission </w:t>
      </w:r>
      <w:r w:rsidR="00EC5B33" w:rsidRPr="00DA4DDD">
        <w:rPr>
          <w:rFonts w:ascii="Times New Roman" w:hAnsi="Times New Roman" w:cs="Times New Roman"/>
          <w:sz w:val="24"/>
          <w:szCs w:val="24"/>
        </w:rPr>
        <w:t>and the European Union member states to grant the status of a candidate country to Georgia and to launch the accession negotiations with Moldova, Ukraine and Georgia;</w:t>
      </w:r>
    </w:p>
    <w:p w14:paraId="48B7C0D3"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41376285" w14:textId="6C118B69"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eastAsia="ro-MD"/>
        </w:rPr>
        <w:t>e</w:t>
      </w:r>
      <w:proofErr w:type="spellStart"/>
      <w:r w:rsidR="00B7783C" w:rsidRPr="00523A0A">
        <w:rPr>
          <w:rFonts w:ascii="Times New Roman" w:hAnsi="Times New Roman" w:cs="Times New Roman"/>
          <w:sz w:val="24"/>
          <w:szCs w:val="24"/>
          <w:lang w:val="en-GB"/>
        </w:rPr>
        <w:t>ngages</w:t>
      </w:r>
      <w:proofErr w:type="spellEnd"/>
      <w:r w:rsidR="00B7783C" w:rsidRPr="00523A0A">
        <w:rPr>
          <w:rFonts w:ascii="Times New Roman" w:hAnsi="Times New Roman" w:cs="Times New Roman"/>
          <w:sz w:val="24"/>
          <w:szCs w:val="24"/>
          <w:lang w:val="en-GB"/>
        </w:rPr>
        <w:t xml:space="preserve"> in a meaningful </w:t>
      </w:r>
      <w:r w:rsidR="00BE208A" w:rsidRPr="00523A0A">
        <w:rPr>
          <w:rFonts w:ascii="Times New Roman" w:hAnsi="Times New Roman" w:cs="Times New Roman"/>
          <w:sz w:val="24"/>
          <w:szCs w:val="24"/>
          <w:lang w:val="en-GB"/>
        </w:rPr>
        <w:t xml:space="preserve">and structured </w:t>
      </w:r>
      <w:r w:rsidR="00B7783C" w:rsidRPr="00523A0A">
        <w:rPr>
          <w:rFonts w:ascii="Times New Roman" w:hAnsi="Times New Roman" w:cs="Times New Roman"/>
          <w:sz w:val="24"/>
          <w:szCs w:val="24"/>
          <w:lang w:val="en-GB"/>
        </w:rPr>
        <w:t xml:space="preserve">dialogue with these countries on the EU accession process, taking into account the </w:t>
      </w:r>
      <w:proofErr w:type="spellStart"/>
      <w:r w:rsidR="00B7783C" w:rsidRPr="00523A0A">
        <w:rPr>
          <w:rFonts w:ascii="Times New Roman" w:hAnsi="Times New Roman" w:cs="Times New Roman"/>
          <w:sz w:val="24"/>
          <w:szCs w:val="24"/>
          <w:lang w:val="en-GB"/>
        </w:rPr>
        <w:t>partic</w:t>
      </w:r>
      <w:proofErr w:type="spellEnd"/>
      <w:r w:rsidR="00375852" w:rsidRPr="00523A0A">
        <w:rPr>
          <w:rFonts w:ascii="Times New Roman" w:hAnsi="Times New Roman" w:cs="Times New Roman"/>
          <w:sz w:val="24"/>
          <w:szCs w:val="24"/>
          <w:lang w:val="en-GB"/>
        </w:rPr>
        <w:t xml:space="preserve"> merits and specificities of </w:t>
      </w:r>
      <w:r w:rsidRPr="00523A0A">
        <w:rPr>
          <w:rFonts w:ascii="Times New Roman" w:hAnsi="Times New Roman" w:cs="Times New Roman"/>
          <w:sz w:val="24"/>
          <w:szCs w:val="24"/>
          <w:lang w:val="en-GB"/>
        </w:rPr>
        <w:t>each country;</w:t>
      </w:r>
    </w:p>
    <w:p w14:paraId="39EBC580"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2659FEFE" w14:textId="77777777"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rPr>
        <w:t>e</w:t>
      </w:r>
      <w:proofErr w:type="spellStart"/>
      <w:r w:rsidR="00B7783C" w:rsidRPr="00523A0A">
        <w:rPr>
          <w:rFonts w:ascii="Times New Roman" w:hAnsi="Times New Roman" w:cs="Times New Roman"/>
          <w:sz w:val="24"/>
          <w:szCs w:val="24"/>
          <w:lang w:val="en-GB"/>
        </w:rPr>
        <w:t>ncourages</w:t>
      </w:r>
      <w:proofErr w:type="spellEnd"/>
      <w:r w:rsidR="00B7783C" w:rsidRPr="00523A0A">
        <w:rPr>
          <w:rFonts w:ascii="Times New Roman" w:hAnsi="Times New Roman" w:cs="Times New Roman"/>
          <w:sz w:val="24"/>
          <w:szCs w:val="24"/>
          <w:lang w:val="en-GB"/>
        </w:rPr>
        <w:t xml:space="preserve"> the </w:t>
      </w:r>
      <w:r w:rsidR="00375852" w:rsidRPr="00523A0A">
        <w:rPr>
          <w:rFonts w:ascii="Times New Roman" w:hAnsi="Times New Roman" w:cs="Times New Roman"/>
          <w:sz w:val="24"/>
          <w:szCs w:val="24"/>
          <w:lang w:val="en-GB"/>
        </w:rPr>
        <w:t xml:space="preserve">peaceful </w:t>
      </w:r>
      <w:r w:rsidR="00B7783C" w:rsidRPr="00523A0A">
        <w:rPr>
          <w:rFonts w:ascii="Times New Roman" w:hAnsi="Times New Roman" w:cs="Times New Roman"/>
          <w:sz w:val="24"/>
          <w:szCs w:val="24"/>
          <w:lang w:val="en-GB"/>
        </w:rPr>
        <w:t xml:space="preserve">resolution of </w:t>
      </w:r>
      <w:r w:rsidR="00375852" w:rsidRPr="00523A0A">
        <w:rPr>
          <w:rFonts w:ascii="Times New Roman" w:hAnsi="Times New Roman" w:cs="Times New Roman"/>
          <w:sz w:val="24"/>
          <w:szCs w:val="24"/>
          <w:lang w:val="en-GB"/>
        </w:rPr>
        <w:t xml:space="preserve">unresolved </w:t>
      </w:r>
      <w:r w:rsidR="00B7783C" w:rsidRPr="00523A0A">
        <w:rPr>
          <w:rFonts w:ascii="Times New Roman" w:hAnsi="Times New Roman" w:cs="Times New Roman"/>
          <w:sz w:val="24"/>
          <w:szCs w:val="24"/>
          <w:lang w:val="en-GB"/>
        </w:rPr>
        <w:t>conflicts through diplomatic engagement, support for reforms, democratiz</w:t>
      </w:r>
      <w:r w:rsidRPr="00523A0A">
        <w:rPr>
          <w:rFonts w:ascii="Times New Roman" w:hAnsi="Times New Roman" w:cs="Times New Roman"/>
          <w:sz w:val="24"/>
          <w:szCs w:val="24"/>
          <w:lang w:val="en-GB"/>
        </w:rPr>
        <w:t>ation and economic cooperation;</w:t>
      </w:r>
    </w:p>
    <w:p w14:paraId="1A2138D2"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0650FDD5" w14:textId="5F7A17DC" w:rsidR="00DC4587"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rPr>
        <w:t>f</w:t>
      </w:r>
      <w:r w:rsidR="000E2CF0" w:rsidRPr="00523A0A">
        <w:rPr>
          <w:rFonts w:ascii="Times New Roman" w:hAnsi="Times New Roman" w:cs="Times New Roman"/>
          <w:sz w:val="24"/>
          <w:szCs w:val="24"/>
          <w:lang w:val="en-US"/>
        </w:rPr>
        <w:t>osters the role of Solidarity Lanes in promoting the integration of these countries into the European family, and help them overcome the obstacles and challenges that may arise on their road to EU membership</w:t>
      </w:r>
      <w:r w:rsidRPr="00523A0A">
        <w:rPr>
          <w:rFonts w:ascii="Times New Roman" w:hAnsi="Times New Roman" w:cs="Times New Roman"/>
          <w:sz w:val="24"/>
          <w:szCs w:val="24"/>
          <w:lang w:val="en-US"/>
        </w:rPr>
        <w:t>;</w:t>
      </w:r>
    </w:p>
    <w:p w14:paraId="69F23214" w14:textId="77777777" w:rsidR="00DA4DDD" w:rsidRPr="00523A0A" w:rsidRDefault="00DA4DDD" w:rsidP="00DA4DDD">
      <w:pPr>
        <w:pStyle w:val="ListParagraph"/>
        <w:spacing w:before="160" w:line="276" w:lineRule="auto"/>
        <w:ind w:left="360"/>
        <w:jc w:val="both"/>
        <w:rPr>
          <w:rFonts w:ascii="Times New Roman" w:hAnsi="Times New Roman" w:cs="Times New Roman"/>
          <w:sz w:val="24"/>
          <w:szCs w:val="24"/>
          <w:lang w:val="en-US" w:eastAsia="ro-MD"/>
        </w:rPr>
      </w:pPr>
    </w:p>
    <w:p w14:paraId="725E51D3" w14:textId="678F3CB0" w:rsidR="00EC5B33" w:rsidRPr="00DA4DDD"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Pr>
          <w:rFonts w:ascii="Times New Roman" w:hAnsi="Times New Roman" w:cs="Times New Roman"/>
          <w:sz w:val="24"/>
          <w:szCs w:val="24"/>
          <w:lang w:val="en-US"/>
        </w:rPr>
        <w:t>c</w:t>
      </w:r>
      <w:r w:rsidR="00EC5B33" w:rsidRPr="00DA4DDD">
        <w:rPr>
          <w:rFonts w:ascii="Times New Roman" w:hAnsi="Times New Roman" w:cs="Times New Roman"/>
          <w:sz w:val="24"/>
          <w:szCs w:val="24"/>
        </w:rPr>
        <w:t>alls on the government of Ukraine, Moldova and Georgia to implement the EU human rights sanctions regime (the European Magnitsky Act), and extend it to include sanctions for corruption crimes, covering accession countries;</w:t>
      </w:r>
    </w:p>
    <w:p w14:paraId="70859FCC"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1B5723CF" w14:textId="534D03B4"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rPr>
        <w:t>i</w:t>
      </w:r>
      <w:r w:rsidR="00F85648" w:rsidRPr="00523A0A">
        <w:rPr>
          <w:rFonts w:ascii="Times New Roman" w:hAnsi="Times New Roman" w:cs="Times New Roman"/>
          <w:sz w:val="24"/>
          <w:szCs w:val="24"/>
          <w:lang w:val="en-US"/>
        </w:rPr>
        <w:t>nvites the European Commission to ensure the ordered transition of Ukraine, Moldova and Georgia from EU’s association neighbors s</w:t>
      </w:r>
      <w:r w:rsidRPr="00523A0A">
        <w:rPr>
          <w:rFonts w:ascii="Times New Roman" w:hAnsi="Times New Roman" w:cs="Times New Roman"/>
          <w:sz w:val="24"/>
          <w:szCs w:val="24"/>
          <w:lang w:val="en-US"/>
        </w:rPr>
        <w:t>tatus to EU accession countries;</w:t>
      </w:r>
    </w:p>
    <w:p w14:paraId="07D3AB13"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3D77C8E3" w14:textId="51F9CDD2" w:rsidR="00DC4587" w:rsidRPr="00523A0A" w:rsidRDefault="008C5033"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proofErr w:type="spellStart"/>
      <w:r>
        <w:rPr>
          <w:rFonts w:ascii="Times New Roman" w:hAnsi="Times New Roman" w:cs="Times New Roman"/>
          <w:sz w:val="24"/>
          <w:szCs w:val="24"/>
          <w:lang w:val="en-US"/>
        </w:rPr>
        <w:t>i</w:t>
      </w:r>
      <w:proofErr w:type="spellEnd"/>
      <w:r w:rsidR="00EC5B33" w:rsidRPr="00523A0A">
        <w:rPr>
          <w:rFonts w:ascii="Times New Roman" w:hAnsi="Times New Roman" w:cs="Times New Roman"/>
          <w:sz w:val="24"/>
          <w:szCs w:val="24"/>
        </w:rPr>
        <w:t>nvites the European Commission to ensure the ordered transition of Ukraine, Moldova and Georgia from EU’s association neighbours status to EU accession statu</w:t>
      </w:r>
      <w:r w:rsidR="00EC5B33" w:rsidRPr="001A3AD2">
        <w:rPr>
          <w:rFonts w:ascii="Times New Roman" w:hAnsi="Times New Roman" w:cs="Times New Roman"/>
          <w:sz w:val="24"/>
          <w:szCs w:val="24"/>
        </w:rPr>
        <w:t>s;</w:t>
      </w:r>
    </w:p>
    <w:p w14:paraId="6CDFBBAE"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0D2969EF" w14:textId="10696602" w:rsidR="00DC4587" w:rsidRPr="00DA4DDD"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eastAsia="Times New Roman" w:hAnsi="Times New Roman" w:cs="Times New Roman"/>
          <w:sz w:val="24"/>
          <w:szCs w:val="24"/>
          <w:lang w:val="en-US"/>
        </w:rPr>
        <w:t>i</w:t>
      </w:r>
      <w:r w:rsidR="00B5490F" w:rsidRPr="00523A0A">
        <w:rPr>
          <w:rFonts w:ascii="Times New Roman" w:eastAsia="Times New Roman" w:hAnsi="Times New Roman" w:cs="Times New Roman"/>
          <w:sz w:val="24"/>
          <w:szCs w:val="24"/>
          <w:lang w:val="en-US"/>
        </w:rPr>
        <w:t>nvites the European Commission to prepare tailored roadmaps laying solid grounds for the gradual accession of Ukraine, Moldova and Georgia to EU’s Single Market, on the basis of enhanced implementation of the Association Agreements and the Deep and Comprehensive Free Trade Area (DCFTA’s) with the new accessi</w:t>
      </w:r>
      <w:r w:rsidRPr="00523A0A">
        <w:rPr>
          <w:rFonts w:ascii="Times New Roman" w:eastAsia="Times New Roman" w:hAnsi="Times New Roman" w:cs="Times New Roman"/>
          <w:sz w:val="24"/>
          <w:szCs w:val="24"/>
          <w:lang w:val="en-US"/>
        </w:rPr>
        <w:t xml:space="preserve">on countries; </w:t>
      </w:r>
    </w:p>
    <w:p w14:paraId="367B0CB4" w14:textId="77777777" w:rsidR="00DA4DDD" w:rsidRPr="00523A0A" w:rsidRDefault="00DA4DDD" w:rsidP="00DA4DDD">
      <w:pPr>
        <w:pStyle w:val="ListParagraph"/>
        <w:spacing w:before="160" w:line="276" w:lineRule="auto"/>
        <w:ind w:left="360"/>
        <w:jc w:val="both"/>
        <w:rPr>
          <w:rFonts w:ascii="Times New Roman" w:hAnsi="Times New Roman" w:cs="Times New Roman"/>
          <w:sz w:val="24"/>
          <w:szCs w:val="24"/>
          <w:lang w:val="en-US" w:eastAsia="ro-MD"/>
        </w:rPr>
      </w:pPr>
    </w:p>
    <w:p w14:paraId="7F38CB14" w14:textId="34ABBB87" w:rsidR="00E67620" w:rsidRPr="00DA4DDD"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DA4DDD">
        <w:rPr>
          <w:rFonts w:ascii="Times New Roman" w:hAnsi="Times New Roman" w:cs="Times New Roman"/>
          <w:sz w:val="24"/>
          <w:szCs w:val="24"/>
          <w:lang w:val="en-GB"/>
        </w:rPr>
        <w:t>c</w:t>
      </w:r>
      <w:r w:rsidR="00E67620" w:rsidRPr="00DA4DDD">
        <w:rPr>
          <w:rFonts w:ascii="Times New Roman" w:hAnsi="Times New Roman" w:cs="Times New Roman"/>
          <w:sz w:val="24"/>
          <w:szCs w:val="24"/>
        </w:rPr>
        <w:t>alls following recommendations from the Conference of the Future of Europe to establish democracy partnership structures with the aim to prepare Georgia, Moldova and Ukraine to adapt to EU’s full fledged, plural democracy and values and to develop and deepen a broad citizens’ participation in the democratic life of the Union at European, national and local level; stresses that such partnerships through multinational exchange of best practices should foster and strengthen sustainable, inclusive and participatory democracies in current and future EU Member States; calls on the Commission to provide adequate financing for such partnerships;</w:t>
      </w:r>
    </w:p>
    <w:p w14:paraId="32FAA6ED"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04F8E89B" w14:textId="5FE3320B" w:rsidR="00DC4587" w:rsidRPr="00523A0A" w:rsidRDefault="00DA4DDD"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proofErr w:type="spellStart"/>
      <w:r>
        <w:rPr>
          <w:rFonts w:ascii="Times New Roman" w:hAnsi="Times New Roman" w:cs="Times New Roman"/>
          <w:sz w:val="24"/>
          <w:szCs w:val="24"/>
          <w:lang w:val="en-US"/>
        </w:rPr>
        <w:t>i</w:t>
      </w:r>
      <w:proofErr w:type="spellEnd"/>
      <w:r w:rsidR="00E67620" w:rsidRPr="00523A0A">
        <w:rPr>
          <w:rFonts w:ascii="Times New Roman" w:hAnsi="Times New Roman" w:cs="Times New Roman"/>
          <w:sz w:val="24"/>
          <w:szCs w:val="24"/>
        </w:rPr>
        <w:t>nvites the European Commission to further explore opening the existing European Union financial instruments to Georgia, Moldova and Ukraine, bearing in mind their new status in relations to the European Union</w:t>
      </w:r>
      <w:r w:rsidR="00E67620" w:rsidRPr="00DA4DDD">
        <w:rPr>
          <w:rFonts w:ascii="Times New Roman" w:hAnsi="Times New Roman" w:cs="Times New Roman"/>
          <w:sz w:val="24"/>
          <w:szCs w:val="24"/>
        </w:rPr>
        <w:t>, including the Pre-Accession Instrument (IPA) to help them meet EU standards and fulfil the criteria for EU accession;</w:t>
      </w:r>
    </w:p>
    <w:p w14:paraId="488E053E"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700ADEED" w14:textId="77777777"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eastAsia="ro-MD"/>
        </w:rPr>
        <w:lastRenderedPageBreak/>
        <w:t>e</w:t>
      </w:r>
      <w:proofErr w:type="spellStart"/>
      <w:r w:rsidR="001E1FC8" w:rsidRPr="00523A0A">
        <w:rPr>
          <w:rFonts w:ascii="Times New Roman" w:hAnsi="Times New Roman" w:cs="Times New Roman"/>
          <w:sz w:val="24"/>
          <w:szCs w:val="24"/>
          <w:lang w:val="en-GB"/>
        </w:rPr>
        <w:t>mphasizes</w:t>
      </w:r>
      <w:proofErr w:type="spellEnd"/>
      <w:r w:rsidR="001E1FC8" w:rsidRPr="00523A0A">
        <w:rPr>
          <w:rFonts w:ascii="Times New Roman" w:hAnsi="Times New Roman" w:cs="Times New Roman"/>
          <w:sz w:val="24"/>
          <w:szCs w:val="24"/>
          <w:lang w:val="en-GB"/>
        </w:rPr>
        <w:t xml:space="preserve"> that </w:t>
      </w:r>
      <w:r w:rsidR="00285BCD" w:rsidRPr="00523A0A">
        <w:rPr>
          <w:rFonts w:ascii="Times New Roman" w:hAnsi="Times New Roman" w:cs="Times New Roman"/>
          <w:sz w:val="24"/>
          <w:szCs w:val="24"/>
          <w:lang w:val="en-GB"/>
        </w:rPr>
        <w:t xml:space="preserve">the </w:t>
      </w:r>
      <w:r w:rsidR="001E1FC8" w:rsidRPr="00523A0A">
        <w:rPr>
          <w:rFonts w:ascii="Times New Roman" w:hAnsi="Times New Roman" w:cs="Times New Roman"/>
          <w:sz w:val="24"/>
          <w:szCs w:val="24"/>
          <w:lang w:val="en-GB"/>
        </w:rPr>
        <w:t>EU enlargement</w:t>
      </w:r>
      <w:r w:rsidR="00285BCD" w:rsidRPr="00523A0A">
        <w:rPr>
          <w:rFonts w:ascii="Times New Roman" w:hAnsi="Times New Roman" w:cs="Times New Roman"/>
          <w:sz w:val="24"/>
          <w:szCs w:val="24"/>
          <w:lang w:val="en-GB"/>
        </w:rPr>
        <w:t xml:space="preserve"> policy</w:t>
      </w:r>
      <w:r w:rsidR="001E1FC8" w:rsidRPr="00523A0A">
        <w:rPr>
          <w:rFonts w:ascii="Times New Roman" w:hAnsi="Times New Roman" w:cs="Times New Roman"/>
          <w:sz w:val="24"/>
          <w:szCs w:val="24"/>
          <w:lang w:val="en-GB"/>
        </w:rPr>
        <w:t xml:space="preserve"> is </w:t>
      </w:r>
      <w:r w:rsidR="002946CD" w:rsidRPr="00523A0A">
        <w:rPr>
          <w:rFonts w:ascii="Times New Roman" w:hAnsi="Times New Roman" w:cs="Times New Roman"/>
          <w:sz w:val="24"/>
          <w:szCs w:val="24"/>
          <w:lang w:val="en-GB"/>
        </w:rPr>
        <w:t xml:space="preserve">one of </w:t>
      </w:r>
      <w:r w:rsidR="001E1FC8" w:rsidRPr="00523A0A">
        <w:rPr>
          <w:rFonts w:ascii="Times New Roman" w:hAnsi="Times New Roman" w:cs="Times New Roman"/>
          <w:sz w:val="24"/>
          <w:szCs w:val="24"/>
          <w:lang w:val="en-GB"/>
        </w:rPr>
        <w:t xml:space="preserve">the </w:t>
      </w:r>
      <w:r w:rsidR="00285BCD" w:rsidRPr="00523A0A">
        <w:rPr>
          <w:rFonts w:ascii="Times New Roman" w:hAnsi="Times New Roman" w:cs="Times New Roman"/>
          <w:sz w:val="24"/>
          <w:szCs w:val="24"/>
          <w:lang w:val="en-GB"/>
        </w:rPr>
        <w:t>most effective</w:t>
      </w:r>
      <w:r w:rsidR="001E1FC8" w:rsidRPr="00523A0A">
        <w:rPr>
          <w:rFonts w:ascii="Times New Roman" w:hAnsi="Times New Roman" w:cs="Times New Roman"/>
          <w:sz w:val="24"/>
          <w:szCs w:val="24"/>
          <w:lang w:val="en-GB"/>
        </w:rPr>
        <w:t xml:space="preserve"> </w:t>
      </w:r>
      <w:r w:rsidR="00285BCD" w:rsidRPr="00523A0A">
        <w:rPr>
          <w:rFonts w:ascii="Times New Roman" w:hAnsi="Times New Roman" w:cs="Times New Roman"/>
          <w:sz w:val="24"/>
          <w:szCs w:val="24"/>
          <w:lang w:val="en-GB"/>
        </w:rPr>
        <w:t>mechanism</w:t>
      </w:r>
      <w:r w:rsidR="001E1FC8" w:rsidRPr="00523A0A">
        <w:rPr>
          <w:rFonts w:ascii="Times New Roman" w:hAnsi="Times New Roman" w:cs="Times New Roman"/>
          <w:sz w:val="24"/>
          <w:szCs w:val="24"/>
          <w:lang w:val="en-GB"/>
        </w:rPr>
        <w:t xml:space="preserve"> to bring peace and stability to </w:t>
      </w:r>
      <w:r w:rsidR="00285BCD" w:rsidRPr="00523A0A">
        <w:rPr>
          <w:rFonts w:ascii="Times New Roman" w:hAnsi="Times New Roman" w:cs="Times New Roman"/>
          <w:sz w:val="24"/>
          <w:szCs w:val="24"/>
          <w:lang w:val="en-GB"/>
        </w:rPr>
        <w:t>the region</w:t>
      </w:r>
      <w:r w:rsidRPr="00523A0A">
        <w:rPr>
          <w:rFonts w:ascii="Times New Roman" w:hAnsi="Times New Roman" w:cs="Times New Roman"/>
          <w:sz w:val="24"/>
          <w:szCs w:val="24"/>
          <w:lang w:val="en-GB"/>
        </w:rPr>
        <w:t>;</w:t>
      </w:r>
    </w:p>
    <w:p w14:paraId="61A6F9CD"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116AAAC8" w14:textId="77777777"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rPr>
        <w:t>e</w:t>
      </w:r>
      <w:proofErr w:type="spellStart"/>
      <w:r w:rsidR="00A25596" w:rsidRPr="00523A0A">
        <w:rPr>
          <w:rFonts w:ascii="Times New Roman" w:hAnsi="Times New Roman" w:cs="Times New Roman"/>
          <w:sz w:val="24"/>
          <w:szCs w:val="24"/>
          <w:lang w:val="en-GB"/>
        </w:rPr>
        <w:t>ncourages</w:t>
      </w:r>
      <w:proofErr w:type="spellEnd"/>
      <w:r w:rsidR="00A25596" w:rsidRPr="00523A0A">
        <w:rPr>
          <w:rFonts w:ascii="Times New Roman" w:hAnsi="Times New Roman" w:cs="Times New Roman"/>
          <w:sz w:val="24"/>
          <w:szCs w:val="24"/>
          <w:lang w:val="en-GB"/>
        </w:rPr>
        <w:t xml:space="preserve"> investment</w:t>
      </w:r>
      <w:r w:rsidR="00285BCD" w:rsidRPr="00523A0A">
        <w:rPr>
          <w:rFonts w:ascii="Times New Roman" w:hAnsi="Times New Roman" w:cs="Times New Roman"/>
          <w:sz w:val="24"/>
          <w:szCs w:val="24"/>
          <w:lang w:val="en-GB"/>
        </w:rPr>
        <w:t>s</w:t>
      </w:r>
      <w:r w:rsidR="00A25596" w:rsidRPr="00523A0A">
        <w:rPr>
          <w:rFonts w:ascii="Times New Roman" w:hAnsi="Times New Roman" w:cs="Times New Roman"/>
          <w:sz w:val="24"/>
          <w:szCs w:val="24"/>
          <w:lang w:val="en-GB"/>
        </w:rPr>
        <w:t xml:space="preserve"> in energy, transport, and digital interconnectivity of the three countries with the EU to enhance energy security, boost trade, investment opportunities and economic growth, increase people-to-people contacts and ensure greater regional stability and secu</w:t>
      </w:r>
      <w:r w:rsidRPr="00523A0A">
        <w:rPr>
          <w:rFonts w:ascii="Times New Roman" w:hAnsi="Times New Roman" w:cs="Times New Roman"/>
          <w:sz w:val="24"/>
          <w:szCs w:val="24"/>
          <w:lang w:val="en-GB"/>
        </w:rPr>
        <w:t>rity;</w:t>
      </w:r>
    </w:p>
    <w:p w14:paraId="60C4BAAD"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0E729A5E" w14:textId="77777777" w:rsidR="00DC4587"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r w:rsidRPr="00523A0A">
        <w:rPr>
          <w:rFonts w:ascii="Times New Roman" w:hAnsi="Times New Roman" w:cs="Times New Roman"/>
          <w:sz w:val="24"/>
          <w:szCs w:val="24"/>
          <w:lang w:val="en-US"/>
        </w:rPr>
        <w:t>s</w:t>
      </w:r>
      <w:proofErr w:type="spellStart"/>
      <w:r w:rsidR="00044F51" w:rsidRPr="00523A0A">
        <w:rPr>
          <w:rFonts w:ascii="Times New Roman" w:hAnsi="Times New Roman" w:cs="Times New Roman"/>
          <w:sz w:val="24"/>
          <w:szCs w:val="24"/>
          <w:lang w:val="en-GB"/>
        </w:rPr>
        <w:t>upports</w:t>
      </w:r>
      <w:proofErr w:type="spellEnd"/>
      <w:r w:rsidR="00044F51" w:rsidRPr="00523A0A">
        <w:rPr>
          <w:rFonts w:ascii="Times New Roman" w:hAnsi="Times New Roman" w:cs="Times New Roman"/>
          <w:sz w:val="24"/>
          <w:szCs w:val="24"/>
          <w:lang w:val="en-GB"/>
        </w:rPr>
        <w:t xml:space="preserve"> the exchange of ideas, an increased cultural understanding, and greater economic cooperation and integration with the EU and </w:t>
      </w:r>
      <w:r w:rsidR="00285BCD" w:rsidRPr="00523A0A">
        <w:rPr>
          <w:rFonts w:ascii="Times New Roman" w:hAnsi="Times New Roman" w:cs="Times New Roman"/>
          <w:sz w:val="24"/>
          <w:szCs w:val="24"/>
          <w:lang w:val="en-GB"/>
        </w:rPr>
        <w:t>among</w:t>
      </w:r>
      <w:r w:rsidR="00044F51" w:rsidRPr="00523A0A">
        <w:rPr>
          <w:rFonts w:ascii="Times New Roman" w:hAnsi="Times New Roman" w:cs="Times New Roman"/>
          <w:sz w:val="24"/>
          <w:szCs w:val="24"/>
          <w:lang w:val="en-GB"/>
        </w:rPr>
        <w:t xml:space="preserve"> themselves by removing the finan</w:t>
      </w:r>
      <w:r w:rsidRPr="00523A0A">
        <w:rPr>
          <w:rFonts w:ascii="Times New Roman" w:hAnsi="Times New Roman" w:cs="Times New Roman"/>
          <w:sz w:val="24"/>
          <w:szCs w:val="24"/>
          <w:lang w:val="en-GB"/>
        </w:rPr>
        <w:t>cial barrier of roaming charges;</w:t>
      </w:r>
    </w:p>
    <w:p w14:paraId="4C8F8961" w14:textId="77777777" w:rsidR="00DC4587" w:rsidRPr="00523A0A" w:rsidRDefault="00DC4587" w:rsidP="00523A0A">
      <w:pPr>
        <w:pStyle w:val="ListParagraph"/>
        <w:spacing w:before="160" w:line="276" w:lineRule="auto"/>
        <w:ind w:left="0"/>
        <w:jc w:val="both"/>
        <w:rPr>
          <w:rFonts w:ascii="Times New Roman" w:hAnsi="Times New Roman" w:cs="Times New Roman"/>
          <w:sz w:val="24"/>
          <w:szCs w:val="24"/>
          <w:lang w:val="en-US" w:eastAsia="ro-MD"/>
        </w:rPr>
      </w:pPr>
    </w:p>
    <w:p w14:paraId="6F15ADB9" w14:textId="573CAAD2" w:rsidR="00DB713D" w:rsidRPr="00523A0A" w:rsidRDefault="00DC4587" w:rsidP="00523A0A">
      <w:pPr>
        <w:pStyle w:val="ListParagraph"/>
        <w:numPr>
          <w:ilvl w:val="0"/>
          <w:numId w:val="10"/>
        </w:numPr>
        <w:spacing w:before="160" w:line="276" w:lineRule="auto"/>
        <w:ind w:left="360"/>
        <w:jc w:val="both"/>
        <w:rPr>
          <w:rFonts w:ascii="Times New Roman" w:hAnsi="Times New Roman" w:cs="Times New Roman"/>
          <w:sz w:val="24"/>
          <w:szCs w:val="24"/>
          <w:lang w:val="en-US" w:eastAsia="ro-MD"/>
        </w:rPr>
      </w:pPr>
      <w:proofErr w:type="gramStart"/>
      <w:r w:rsidRPr="00523A0A">
        <w:rPr>
          <w:rFonts w:ascii="Times New Roman" w:hAnsi="Times New Roman" w:cs="Times New Roman"/>
          <w:sz w:val="24"/>
          <w:szCs w:val="24"/>
          <w:lang w:val="en-US"/>
        </w:rPr>
        <w:t>e</w:t>
      </w:r>
      <w:proofErr w:type="spellStart"/>
      <w:r w:rsidR="00DB713D" w:rsidRPr="00523A0A">
        <w:rPr>
          <w:rFonts w:ascii="Times New Roman" w:hAnsi="Times New Roman" w:cs="Times New Roman"/>
          <w:sz w:val="24"/>
          <w:szCs w:val="24"/>
          <w:lang w:val="en-GB" w:eastAsia="ro-MD"/>
        </w:rPr>
        <w:t>mphasizes</w:t>
      </w:r>
      <w:proofErr w:type="spellEnd"/>
      <w:proofErr w:type="gramEnd"/>
      <w:r w:rsidR="00DB713D" w:rsidRPr="00523A0A">
        <w:rPr>
          <w:rFonts w:ascii="Times New Roman" w:hAnsi="Times New Roman" w:cs="Times New Roman"/>
          <w:sz w:val="24"/>
          <w:szCs w:val="24"/>
          <w:lang w:val="en-GB" w:eastAsia="ro-MD"/>
        </w:rPr>
        <w:t xml:space="preserve"> the importance of the continued cooperation between the </w:t>
      </w:r>
      <w:proofErr w:type="spellStart"/>
      <w:r w:rsidR="00DB713D" w:rsidRPr="00523A0A">
        <w:rPr>
          <w:rFonts w:ascii="Times New Roman" w:hAnsi="Times New Roman" w:cs="Times New Roman"/>
          <w:sz w:val="24"/>
          <w:szCs w:val="24"/>
          <w:lang w:val="en-GB" w:eastAsia="ro-MD"/>
        </w:rPr>
        <w:t>Euronest</w:t>
      </w:r>
      <w:proofErr w:type="spellEnd"/>
      <w:r w:rsidR="00DB713D" w:rsidRPr="00523A0A">
        <w:rPr>
          <w:rFonts w:ascii="Times New Roman" w:hAnsi="Times New Roman" w:cs="Times New Roman"/>
          <w:sz w:val="24"/>
          <w:szCs w:val="24"/>
          <w:lang w:val="en-GB" w:eastAsia="ro-MD"/>
        </w:rPr>
        <w:t xml:space="preserve"> Parliamentary Assembly and the parliaments of Ukraine, Moldova and Georgia, in support of their </w:t>
      </w:r>
      <w:r w:rsidR="00A83C01" w:rsidRPr="00523A0A">
        <w:rPr>
          <w:rFonts w:ascii="Times New Roman" w:hAnsi="Times New Roman" w:cs="Times New Roman"/>
          <w:sz w:val="24"/>
          <w:szCs w:val="24"/>
          <w:lang w:val="en-GB" w:eastAsia="ro-MD"/>
        </w:rPr>
        <w:t>EU membership goals</w:t>
      </w:r>
      <w:r w:rsidR="00DB713D" w:rsidRPr="00523A0A">
        <w:rPr>
          <w:rFonts w:ascii="Times New Roman" w:hAnsi="Times New Roman" w:cs="Times New Roman"/>
          <w:sz w:val="24"/>
          <w:szCs w:val="24"/>
          <w:lang w:val="en-GB" w:eastAsia="ro-MD"/>
        </w:rPr>
        <w:t>.</w:t>
      </w:r>
    </w:p>
    <w:sectPr w:rsidR="00DB713D" w:rsidRPr="00523A0A" w:rsidSect="006C0B77">
      <w:footerReference w:type="even" r:id="rId12"/>
      <w:footerReference w:type="default" r:id="rId13"/>
      <w:pgSz w:w="11906" w:h="16838" w:code="9"/>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9AF7B" w16cid:durableId="279729FD"/>
  <w16cid:commentId w16cid:paraId="155D3D19" w16cid:durableId="279729FE"/>
  <w16cid:commentId w16cid:paraId="280311A6" w16cid:durableId="279729FF"/>
  <w16cid:commentId w16cid:paraId="3E105F79" w16cid:durableId="27972A00"/>
  <w16cid:commentId w16cid:paraId="62D0F3DB" w16cid:durableId="27972A01"/>
  <w16cid:commentId w16cid:paraId="42B2E228" w16cid:durableId="27972A02"/>
  <w16cid:commentId w16cid:paraId="159A16A2" w16cid:durableId="27972A03"/>
  <w16cid:commentId w16cid:paraId="68C0EDDC" w16cid:durableId="27972A04"/>
  <w16cid:commentId w16cid:paraId="13F83E9B" w16cid:durableId="27972A05"/>
  <w16cid:commentId w16cid:paraId="7A6370D2" w16cid:durableId="27972A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7564" w14:textId="77777777" w:rsidR="00884F97" w:rsidRDefault="00884F97" w:rsidP="006A1A8F">
      <w:pPr>
        <w:spacing w:after="0"/>
      </w:pPr>
      <w:r>
        <w:separator/>
      </w:r>
    </w:p>
  </w:endnote>
  <w:endnote w:type="continuationSeparator" w:id="0">
    <w:p w14:paraId="6B0C96BC" w14:textId="77777777" w:rsidR="00884F97" w:rsidRDefault="00884F97" w:rsidP="006A1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1405" w14:textId="77777777" w:rsidR="006A1A8F" w:rsidRDefault="006A1A8F" w:rsidP="006E09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E570B" w14:textId="77777777" w:rsidR="006A1A8F" w:rsidRDefault="006A1A8F" w:rsidP="006A1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6F53" w14:textId="0A38810D" w:rsidR="006A1A8F" w:rsidRPr="006A1A8F" w:rsidRDefault="006A1A8F" w:rsidP="003D094A">
    <w:pPr>
      <w:pStyle w:val="Footer"/>
      <w:framePr w:wrap="none" w:vAnchor="text" w:hAnchor="margin" w:xAlign="right" w:y="1"/>
      <w:jc w:val="center"/>
      <w:rPr>
        <w:rStyle w:val="PageNumber"/>
        <w:sz w:val="20"/>
        <w:szCs w:val="20"/>
      </w:rPr>
    </w:pPr>
    <w:r w:rsidRPr="006A1A8F">
      <w:rPr>
        <w:rStyle w:val="PageNumber"/>
        <w:sz w:val="20"/>
        <w:szCs w:val="20"/>
      </w:rPr>
      <w:fldChar w:fldCharType="begin"/>
    </w:r>
    <w:r w:rsidRPr="006A1A8F">
      <w:rPr>
        <w:rStyle w:val="PageNumber"/>
        <w:sz w:val="20"/>
        <w:szCs w:val="20"/>
      </w:rPr>
      <w:instrText xml:space="preserve">PAGE  </w:instrText>
    </w:r>
    <w:r w:rsidRPr="006A1A8F">
      <w:rPr>
        <w:rStyle w:val="PageNumber"/>
        <w:sz w:val="20"/>
        <w:szCs w:val="20"/>
      </w:rPr>
      <w:fldChar w:fldCharType="separate"/>
    </w:r>
    <w:r w:rsidR="00FF54B9">
      <w:rPr>
        <w:rStyle w:val="PageNumber"/>
        <w:noProof/>
        <w:sz w:val="20"/>
        <w:szCs w:val="20"/>
      </w:rPr>
      <w:t>5</w:t>
    </w:r>
    <w:r w:rsidRPr="006A1A8F">
      <w:rPr>
        <w:rStyle w:val="PageNumber"/>
        <w:sz w:val="20"/>
        <w:szCs w:val="20"/>
      </w:rPr>
      <w:fldChar w:fldCharType="end"/>
    </w:r>
  </w:p>
  <w:p w14:paraId="51B9F8D9" w14:textId="77777777" w:rsidR="006A1A8F" w:rsidRPr="006A1A8F" w:rsidRDefault="006A1A8F" w:rsidP="003D094A">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623F" w14:textId="77777777" w:rsidR="00884F97" w:rsidRDefault="00884F97" w:rsidP="006A1A8F">
      <w:pPr>
        <w:spacing w:after="0"/>
      </w:pPr>
      <w:r>
        <w:separator/>
      </w:r>
    </w:p>
  </w:footnote>
  <w:footnote w:type="continuationSeparator" w:id="0">
    <w:p w14:paraId="0CD4CCB1" w14:textId="77777777" w:rsidR="00884F97" w:rsidRDefault="00884F97" w:rsidP="006A1A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FFA"/>
    <w:multiLevelType w:val="multilevel"/>
    <w:tmpl w:val="3A76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B4A39"/>
    <w:multiLevelType w:val="hybridMultilevel"/>
    <w:tmpl w:val="E672548E"/>
    <w:lvl w:ilvl="0" w:tplc="0FFA2E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259"/>
    <w:multiLevelType w:val="hybridMultilevel"/>
    <w:tmpl w:val="3A52C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8603A"/>
    <w:multiLevelType w:val="hybridMultilevel"/>
    <w:tmpl w:val="A1442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335B6"/>
    <w:multiLevelType w:val="hybridMultilevel"/>
    <w:tmpl w:val="923A31F6"/>
    <w:lvl w:ilvl="0" w:tplc="0FFA2E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70517"/>
    <w:multiLevelType w:val="hybridMultilevel"/>
    <w:tmpl w:val="FD121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223FDC"/>
    <w:multiLevelType w:val="hybridMultilevel"/>
    <w:tmpl w:val="1966A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46835"/>
    <w:multiLevelType w:val="hybridMultilevel"/>
    <w:tmpl w:val="A044C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C1974"/>
    <w:multiLevelType w:val="hybridMultilevel"/>
    <w:tmpl w:val="725A5D84"/>
    <w:lvl w:ilvl="0" w:tplc="0FFA2E0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F35214"/>
    <w:multiLevelType w:val="multilevel"/>
    <w:tmpl w:val="1840C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9"/>
  </w:num>
  <w:num w:numId="5">
    <w:abstractNumId w:val="4"/>
  </w:num>
  <w:num w:numId="6">
    <w:abstractNumId w:val="8"/>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3D"/>
    <w:rsid w:val="00044F51"/>
    <w:rsid w:val="000948A0"/>
    <w:rsid w:val="000E2CF0"/>
    <w:rsid w:val="001007B8"/>
    <w:rsid w:val="00100FCA"/>
    <w:rsid w:val="00137465"/>
    <w:rsid w:val="001A3AD2"/>
    <w:rsid w:val="001C3852"/>
    <w:rsid w:val="001D5AAF"/>
    <w:rsid w:val="001E1FC8"/>
    <w:rsid w:val="001E4331"/>
    <w:rsid w:val="001E6262"/>
    <w:rsid w:val="002177AB"/>
    <w:rsid w:val="00221E9E"/>
    <w:rsid w:val="00227EED"/>
    <w:rsid w:val="00254170"/>
    <w:rsid w:val="0026613A"/>
    <w:rsid w:val="00285BCD"/>
    <w:rsid w:val="002946CD"/>
    <w:rsid w:val="002A2D31"/>
    <w:rsid w:val="002B7CD1"/>
    <w:rsid w:val="002D6A42"/>
    <w:rsid w:val="002E253D"/>
    <w:rsid w:val="002E4244"/>
    <w:rsid w:val="00307110"/>
    <w:rsid w:val="003133DA"/>
    <w:rsid w:val="0033297D"/>
    <w:rsid w:val="00363240"/>
    <w:rsid w:val="00375852"/>
    <w:rsid w:val="003D094A"/>
    <w:rsid w:val="00404067"/>
    <w:rsid w:val="0040475E"/>
    <w:rsid w:val="00476E06"/>
    <w:rsid w:val="004B08EC"/>
    <w:rsid w:val="004B7BBC"/>
    <w:rsid w:val="004C29DC"/>
    <w:rsid w:val="004D118C"/>
    <w:rsid w:val="004D3A10"/>
    <w:rsid w:val="004E0A0E"/>
    <w:rsid w:val="004E4409"/>
    <w:rsid w:val="00517111"/>
    <w:rsid w:val="00523A0A"/>
    <w:rsid w:val="005534B9"/>
    <w:rsid w:val="00583EFD"/>
    <w:rsid w:val="00642371"/>
    <w:rsid w:val="00645B7A"/>
    <w:rsid w:val="006A1A8F"/>
    <w:rsid w:val="006A5DC5"/>
    <w:rsid w:val="006C0B77"/>
    <w:rsid w:val="006D1331"/>
    <w:rsid w:val="006D4FFE"/>
    <w:rsid w:val="0075153B"/>
    <w:rsid w:val="0076651F"/>
    <w:rsid w:val="00772C0B"/>
    <w:rsid w:val="00801CFA"/>
    <w:rsid w:val="0081313B"/>
    <w:rsid w:val="008242FF"/>
    <w:rsid w:val="00870751"/>
    <w:rsid w:val="00884F97"/>
    <w:rsid w:val="00893701"/>
    <w:rsid w:val="008C5033"/>
    <w:rsid w:val="008E446A"/>
    <w:rsid w:val="00922C48"/>
    <w:rsid w:val="00953C89"/>
    <w:rsid w:val="00957A6C"/>
    <w:rsid w:val="00990F9F"/>
    <w:rsid w:val="009A74A9"/>
    <w:rsid w:val="009B047A"/>
    <w:rsid w:val="009C0E9F"/>
    <w:rsid w:val="00A25596"/>
    <w:rsid w:val="00A655C2"/>
    <w:rsid w:val="00A83C01"/>
    <w:rsid w:val="00AA78A8"/>
    <w:rsid w:val="00AB0011"/>
    <w:rsid w:val="00AB1386"/>
    <w:rsid w:val="00B15888"/>
    <w:rsid w:val="00B21433"/>
    <w:rsid w:val="00B5490F"/>
    <w:rsid w:val="00B7783C"/>
    <w:rsid w:val="00B912F2"/>
    <w:rsid w:val="00B915B7"/>
    <w:rsid w:val="00BC392A"/>
    <w:rsid w:val="00BD4E67"/>
    <w:rsid w:val="00BE208A"/>
    <w:rsid w:val="00BF5871"/>
    <w:rsid w:val="00BF7490"/>
    <w:rsid w:val="00C2216D"/>
    <w:rsid w:val="00C55684"/>
    <w:rsid w:val="00CB65AE"/>
    <w:rsid w:val="00D030AB"/>
    <w:rsid w:val="00D24E79"/>
    <w:rsid w:val="00D35BA3"/>
    <w:rsid w:val="00D62A97"/>
    <w:rsid w:val="00D91117"/>
    <w:rsid w:val="00DA4DDD"/>
    <w:rsid w:val="00DA62FE"/>
    <w:rsid w:val="00DB713D"/>
    <w:rsid w:val="00DC4587"/>
    <w:rsid w:val="00DE7BCC"/>
    <w:rsid w:val="00E628E4"/>
    <w:rsid w:val="00E67620"/>
    <w:rsid w:val="00E72A3A"/>
    <w:rsid w:val="00E800D7"/>
    <w:rsid w:val="00EA4E38"/>
    <w:rsid w:val="00EA59DF"/>
    <w:rsid w:val="00EC5B33"/>
    <w:rsid w:val="00ED4E48"/>
    <w:rsid w:val="00EE4070"/>
    <w:rsid w:val="00F12C76"/>
    <w:rsid w:val="00F4723E"/>
    <w:rsid w:val="00F61F94"/>
    <w:rsid w:val="00F74A96"/>
    <w:rsid w:val="00F85648"/>
    <w:rsid w:val="00F86FD8"/>
    <w:rsid w:val="00FC01B8"/>
    <w:rsid w:val="00FF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0018"/>
  <w15:chartTrackingRefBased/>
  <w15:docId w15:val="{2FDA2BD2-8173-4FC3-B474-B74C0EBD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next w:val="Normal"/>
    <w:link w:val="Heading1Char"/>
    <w:uiPriority w:val="9"/>
    <w:qFormat/>
    <w:rsid w:val="00DC4587"/>
    <w:pPr>
      <w:keepNext/>
      <w:widowControl w:val="0"/>
      <w:spacing w:before="240" w:after="60"/>
      <w:outlineLvl w:val="0"/>
    </w:pPr>
    <w:rPr>
      <w:rFonts w:ascii="Arial" w:eastAsia="Times New Roman" w:hAnsi="Arial" w:cs="Times New Roman"/>
      <w:b/>
      <w:kern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13D"/>
    <w:pPr>
      <w:spacing w:before="100" w:beforeAutospacing="1" w:after="100" w:afterAutospacing="1"/>
    </w:pPr>
    <w:rPr>
      <w:rFonts w:eastAsia="Times New Roman" w:cs="Times New Roman"/>
      <w:sz w:val="24"/>
      <w:szCs w:val="24"/>
      <w:lang w:val="ro-MD" w:eastAsia="ro-MD"/>
    </w:rPr>
  </w:style>
  <w:style w:type="paragraph" w:styleId="ListParagraph">
    <w:name w:val="List Paragraph"/>
    <w:basedOn w:val="Normal"/>
    <w:uiPriority w:val="34"/>
    <w:qFormat/>
    <w:rsid w:val="00DB713D"/>
    <w:pPr>
      <w:spacing w:line="259" w:lineRule="auto"/>
      <w:ind w:left="720"/>
      <w:contextualSpacing/>
    </w:pPr>
    <w:rPr>
      <w:rFonts w:asciiTheme="minorHAnsi" w:eastAsiaTheme="minorEastAsia" w:hAnsiTheme="minorHAnsi"/>
      <w:sz w:val="22"/>
    </w:rPr>
  </w:style>
  <w:style w:type="paragraph" w:styleId="Footer">
    <w:name w:val="footer"/>
    <w:basedOn w:val="Normal"/>
    <w:link w:val="FooterChar"/>
    <w:uiPriority w:val="99"/>
    <w:unhideWhenUsed/>
    <w:rsid w:val="006A1A8F"/>
    <w:pPr>
      <w:tabs>
        <w:tab w:val="center" w:pos="4680"/>
        <w:tab w:val="right" w:pos="9360"/>
      </w:tabs>
      <w:spacing w:after="0"/>
    </w:pPr>
  </w:style>
  <w:style w:type="character" w:customStyle="1" w:styleId="FooterChar">
    <w:name w:val="Footer Char"/>
    <w:basedOn w:val="DefaultParagraphFont"/>
    <w:link w:val="Footer"/>
    <w:uiPriority w:val="99"/>
    <w:rsid w:val="006A1A8F"/>
    <w:rPr>
      <w:rFonts w:ascii="Times New Roman" w:hAnsi="Times New Roman"/>
      <w:sz w:val="28"/>
    </w:rPr>
  </w:style>
  <w:style w:type="character" w:styleId="PageNumber">
    <w:name w:val="page number"/>
    <w:basedOn w:val="DefaultParagraphFont"/>
    <w:uiPriority w:val="99"/>
    <w:semiHidden/>
    <w:unhideWhenUsed/>
    <w:rsid w:val="006A1A8F"/>
  </w:style>
  <w:style w:type="paragraph" w:styleId="Header">
    <w:name w:val="header"/>
    <w:basedOn w:val="Normal"/>
    <w:link w:val="HeaderChar"/>
    <w:uiPriority w:val="99"/>
    <w:unhideWhenUsed/>
    <w:rsid w:val="006A1A8F"/>
    <w:pPr>
      <w:tabs>
        <w:tab w:val="center" w:pos="4680"/>
        <w:tab w:val="right" w:pos="9360"/>
      </w:tabs>
      <w:spacing w:after="0"/>
    </w:pPr>
  </w:style>
  <w:style w:type="character" w:customStyle="1" w:styleId="HeaderChar">
    <w:name w:val="Header Char"/>
    <w:basedOn w:val="DefaultParagraphFont"/>
    <w:link w:val="Header"/>
    <w:uiPriority w:val="99"/>
    <w:rsid w:val="006A1A8F"/>
    <w:rPr>
      <w:rFonts w:ascii="Times New Roman" w:hAnsi="Times New Roman"/>
      <w:sz w:val="28"/>
    </w:rPr>
  </w:style>
  <w:style w:type="paragraph" w:styleId="Revision">
    <w:name w:val="Revision"/>
    <w:hidden/>
    <w:uiPriority w:val="99"/>
    <w:semiHidden/>
    <w:rsid w:val="008E446A"/>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645B7A"/>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645B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46CD"/>
    <w:rPr>
      <w:sz w:val="18"/>
      <w:szCs w:val="18"/>
    </w:rPr>
  </w:style>
  <w:style w:type="paragraph" w:styleId="CommentText">
    <w:name w:val="annotation text"/>
    <w:basedOn w:val="Normal"/>
    <w:link w:val="CommentTextChar"/>
    <w:uiPriority w:val="99"/>
    <w:semiHidden/>
    <w:unhideWhenUsed/>
    <w:rsid w:val="002946CD"/>
    <w:rPr>
      <w:sz w:val="24"/>
      <w:szCs w:val="24"/>
    </w:rPr>
  </w:style>
  <w:style w:type="character" w:customStyle="1" w:styleId="CommentTextChar">
    <w:name w:val="Comment Text Char"/>
    <w:basedOn w:val="DefaultParagraphFont"/>
    <w:link w:val="CommentText"/>
    <w:uiPriority w:val="99"/>
    <w:semiHidden/>
    <w:rsid w:val="002946C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46CD"/>
    <w:rPr>
      <w:b/>
      <w:bCs/>
      <w:sz w:val="20"/>
      <w:szCs w:val="20"/>
    </w:rPr>
  </w:style>
  <w:style w:type="character" w:customStyle="1" w:styleId="CommentSubjectChar">
    <w:name w:val="Comment Subject Char"/>
    <w:basedOn w:val="CommentTextChar"/>
    <w:link w:val="CommentSubject"/>
    <w:uiPriority w:val="99"/>
    <w:semiHidden/>
    <w:rsid w:val="002946CD"/>
    <w:rPr>
      <w:rFonts w:ascii="Times New Roman" w:hAnsi="Times New Roman"/>
      <w:b/>
      <w:bCs/>
      <w:sz w:val="20"/>
      <w:szCs w:val="20"/>
    </w:rPr>
  </w:style>
  <w:style w:type="character" w:customStyle="1" w:styleId="Heading1Char">
    <w:name w:val="Heading 1 Char"/>
    <w:basedOn w:val="DefaultParagraphFont"/>
    <w:link w:val="Heading1"/>
    <w:uiPriority w:val="9"/>
    <w:rsid w:val="00DC4587"/>
    <w:rPr>
      <w:rFonts w:ascii="Arial" w:eastAsia="Times New Roman" w:hAnsi="Arial" w:cs="Times New Roman"/>
      <w:b/>
      <w:kern w:val="28"/>
      <w:sz w:val="28"/>
      <w:szCs w:val="20"/>
      <w:lang w:val="en-GB" w:eastAsia="en-GB"/>
    </w:rPr>
  </w:style>
  <w:style w:type="character" w:customStyle="1" w:styleId="HideTWBExt">
    <w:name w:val="HideTWBExt"/>
    <w:basedOn w:val="DefaultParagraphFont"/>
    <w:rsid w:val="00DC4587"/>
    <w:rPr>
      <w:rFonts w:ascii="Arial" w:hAnsi="Arial" w:cs="Arial"/>
      <w:noProof/>
      <w:vanish/>
      <w:color w:val="000080"/>
      <w:sz w:val="20"/>
    </w:rPr>
  </w:style>
  <w:style w:type="character" w:customStyle="1" w:styleId="HideTWBInt">
    <w:name w:val="HideTWBInt"/>
    <w:rsid w:val="00DC4587"/>
    <w:rPr>
      <w:rFonts w:ascii="Arial" w:hAnsi="Arial" w:cs="Arial"/>
      <w:vanish/>
      <w:color w:val="808080"/>
      <w:sz w:val="20"/>
    </w:rPr>
  </w:style>
  <w:style w:type="paragraph" w:customStyle="1" w:styleId="CoverNormal24a">
    <w:name w:val="CoverNormal24a"/>
    <w:basedOn w:val="Normal"/>
    <w:rsid w:val="00DC4587"/>
    <w:pPr>
      <w:widowControl w:val="0"/>
      <w:spacing w:after="480"/>
      <w:ind w:left="1417"/>
    </w:pPr>
    <w:rPr>
      <w:rFonts w:eastAsia="Times New Roman" w:cs="Times New Roman"/>
      <w:sz w:val="24"/>
      <w:szCs w:val="20"/>
      <w:lang w:val="en-GB" w:eastAsia="en-GB"/>
    </w:rPr>
  </w:style>
  <w:style w:type="paragraph" w:customStyle="1" w:styleId="CoverDocType24a">
    <w:name w:val="CoverDocType24a"/>
    <w:basedOn w:val="Normal"/>
    <w:rsid w:val="00DC4587"/>
    <w:pPr>
      <w:widowControl w:val="0"/>
      <w:spacing w:after="480"/>
      <w:ind w:left="1418"/>
    </w:pPr>
    <w:rPr>
      <w:rFonts w:ascii="Arial" w:eastAsia="Times New Roman" w:hAnsi="Arial" w:cs="Times New Roman"/>
      <w:b/>
      <w:sz w:val="48"/>
      <w:szCs w:val="20"/>
      <w:lang w:val="en-GB" w:eastAsia="en-GB"/>
    </w:rPr>
  </w:style>
  <w:style w:type="paragraph" w:customStyle="1" w:styleId="CoverDateNoRef">
    <w:name w:val="CoverDateNoRef"/>
    <w:basedOn w:val="Normal"/>
    <w:rsid w:val="00DC4587"/>
    <w:pPr>
      <w:widowControl w:val="0"/>
      <w:spacing w:before="1560" w:after="1200"/>
    </w:pPr>
    <w:rPr>
      <w:rFonts w:eastAsia="Times New Roman" w:cs="Times New Roman"/>
      <w:sz w:val="24"/>
      <w:szCs w:val="20"/>
      <w:lang w:val="en-GB" w:eastAsia="en-GB"/>
    </w:rPr>
  </w:style>
  <w:style w:type="paragraph" w:customStyle="1" w:styleId="EPBody">
    <w:name w:val="EPBody"/>
    <w:basedOn w:val="Normal"/>
    <w:rsid w:val="00DC4587"/>
    <w:pPr>
      <w:widowControl w:val="0"/>
      <w:spacing w:after="0"/>
      <w:jc w:val="center"/>
    </w:pPr>
    <w:rPr>
      <w:rFonts w:ascii="Arial" w:eastAsia="Times New Roman" w:hAnsi="Arial" w:cs="Arial"/>
      <w:i/>
      <w:sz w:val="22"/>
      <w:lang w:val="en-GB" w:eastAsia="en-GB"/>
    </w:rPr>
  </w:style>
  <w:style w:type="paragraph" w:customStyle="1" w:styleId="LineBottom">
    <w:name w:val="LineBottom"/>
    <w:basedOn w:val="Normal"/>
    <w:next w:val="Normal"/>
    <w:rsid w:val="00DC4587"/>
    <w:pPr>
      <w:widowControl w:val="0"/>
      <w:pBdr>
        <w:bottom w:val="single" w:sz="4" w:space="1" w:color="auto"/>
      </w:pBdr>
      <w:spacing w:after="240"/>
      <w:jc w:val="center"/>
    </w:pPr>
    <w:rPr>
      <w:rFonts w:ascii="Arial" w:eastAsia="Times New Roman" w:hAnsi="Arial" w:cs="Arial"/>
      <w:sz w:val="16"/>
      <w:szCs w:val="16"/>
      <w:lang w:val="en-GB" w:eastAsia="en-GB"/>
    </w:rPr>
  </w:style>
  <w:style w:type="paragraph" w:customStyle="1" w:styleId="CoverNormalHanging">
    <w:name w:val="CoverNormalHanging"/>
    <w:basedOn w:val="Normal"/>
    <w:rsid w:val="00DC4587"/>
    <w:pPr>
      <w:widowControl w:val="0"/>
      <w:spacing w:after="0"/>
      <w:ind w:left="3686" w:hanging="2268"/>
    </w:pPr>
    <w:rPr>
      <w:rFonts w:eastAsia="Times New Roman" w:cs="Times New Roman"/>
      <w:snapToGrid w:val="0"/>
      <w:sz w:val="24"/>
      <w:szCs w:val="20"/>
      <w:lang w:val="en-GB"/>
    </w:rPr>
  </w:style>
  <w:style w:type="paragraph" w:customStyle="1" w:styleId="LogoNEST">
    <w:name w:val="LogoNEST"/>
    <w:basedOn w:val="Normal"/>
    <w:rsid w:val="00DC4587"/>
    <w:pPr>
      <w:spacing w:after="0"/>
      <w:jc w:val="center"/>
    </w:pPr>
    <w:rPr>
      <w:rFonts w:eastAsia="Calibri" w:cs="Times New Roman"/>
      <w:noProof/>
      <w:sz w:val="24"/>
      <w:szCs w:val="20"/>
      <w:lang w:val="en-GB" w:eastAsia="en-GB"/>
    </w:rPr>
  </w:style>
  <w:style w:type="paragraph" w:customStyle="1" w:styleId="NameNEST">
    <w:name w:val="NameNEST"/>
    <w:basedOn w:val="Normal"/>
    <w:rsid w:val="00DC4587"/>
    <w:pPr>
      <w:spacing w:after="120"/>
      <w:jc w:val="center"/>
    </w:pPr>
    <w:rPr>
      <w:rFonts w:ascii="Arial" w:eastAsia="Calibri" w:hAnsi="Arial" w:cs="Times New Roman"/>
      <w:sz w:val="22"/>
      <w:lang w:val="en-GB"/>
    </w:rPr>
  </w:style>
  <w:style w:type="paragraph" w:customStyle="1" w:styleId="LineLogo">
    <w:name w:val="LineLogo"/>
    <w:basedOn w:val="Normal"/>
    <w:next w:val="Normal"/>
    <w:rsid w:val="00DC4587"/>
    <w:pPr>
      <w:spacing w:after="0"/>
      <w:jc w:val="center"/>
    </w:pPr>
    <w:rPr>
      <w:rFonts w:ascii="Arial" w:eastAsia="Calibri" w:hAnsi="Arial"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2526">
      <w:bodyDiv w:val="1"/>
      <w:marLeft w:val="0"/>
      <w:marRight w:val="0"/>
      <w:marTop w:val="0"/>
      <w:marBottom w:val="0"/>
      <w:divBdr>
        <w:top w:val="none" w:sz="0" w:space="0" w:color="auto"/>
        <w:left w:val="none" w:sz="0" w:space="0" w:color="auto"/>
        <w:bottom w:val="none" w:sz="0" w:space="0" w:color="auto"/>
        <w:right w:val="none" w:sz="0" w:space="0" w:color="auto"/>
      </w:divBdr>
    </w:div>
    <w:div w:id="614598456">
      <w:bodyDiv w:val="1"/>
      <w:marLeft w:val="0"/>
      <w:marRight w:val="0"/>
      <w:marTop w:val="0"/>
      <w:marBottom w:val="0"/>
      <w:divBdr>
        <w:top w:val="none" w:sz="0" w:space="0" w:color="auto"/>
        <w:left w:val="none" w:sz="0" w:space="0" w:color="auto"/>
        <w:bottom w:val="none" w:sz="0" w:space="0" w:color="auto"/>
        <w:right w:val="none" w:sz="0" w:space="0" w:color="auto"/>
      </w:divBdr>
    </w:div>
    <w:div w:id="751658355">
      <w:bodyDiv w:val="1"/>
      <w:marLeft w:val="0"/>
      <w:marRight w:val="0"/>
      <w:marTop w:val="0"/>
      <w:marBottom w:val="0"/>
      <w:divBdr>
        <w:top w:val="none" w:sz="0" w:space="0" w:color="auto"/>
        <w:left w:val="none" w:sz="0" w:space="0" w:color="auto"/>
        <w:bottom w:val="none" w:sz="0" w:space="0" w:color="auto"/>
        <w:right w:val="none" w:sz="0" w:space="0" w:color="auto"/>
      </w:divBdr>
    </w:div>
    <w:div w:id="881862030">
      <w:bodyDiv w:val="1"/>
      <w:marLeft w:val="0"/>
      <w:marRight w:val="0"/>
      <w:marTop w:val="0"/>
      <w:marBottom w:val="0"/>
      <w:divBdr>
        <w:top w:val="none" w:sz="0" w:space="0" w:color="auto"/>
        <w:left w:val="none" w:sz="0" w:space="0" w:color="auto"/>
        <w:bottom w:val="none" w:sz="0" w:space="0" w:color="auto"/>
        <w:right w:val="none" w:sz="0" w:space="0" w:color="auto"/>
      </w:divBdr>
    </w:div>
    <w:div w:id="1223295688">
      <w:bodyDiv w:val="1"/>
      <w:marLeft w:val="0"/>
      <w:marRight w:val="0"/>
      <w:marTop w:val="0"/>
      <w:marBottom w:val="0"/>
      <w:divBdr>
        <w:top w:val="none" w:sz="0" w:space="0" w:color="auto"/>
        <w:left w:val="none" w:sz="0" w:space="0" w:color="auto"/>
        <w:bottom w:val="none" w:sz="0" w:space="0" w:color="auto"/>
        <w:right w:val="none" w:sz="0" w:space="0" w:color="auto"/>
      </w:divBdr>
    </w:div>
    <w:div w:id="1596599343">
      <w:bodyDiv w:val="1"/>
      <w:marLeft w:val="0"/>
      <w:marRight w:val="0"/>
      <w:marTop w:val="0"/>
      <w:marBottom w:val="0"/>
      <w:divBdr>
        <w:top w:val="none" w:sz="0" w:space="0" w:color="auto"/>
        <w:left w:val="none" w:sz="0" w:space="0" w:color="auto"/>
        <w:bottom w:val="none" w:sz="0" w:space="0" w:color="auto"/>
        <w:right w:val="none" w:sz="0" w:space="0" w:color="auto"/>
      </w:divBdr>
    </w:div>
    <w:div w:id="1717317012">
      <w:bodyDiv w:val="1"/>
      <w:marLeft w:val="0"/>
      <w:marRight w:val="0"/>
      <w:marTop w:val="0"/>
      <w:marBottom w:val="0"/>
      <w:divBdr>
        <w:top w:val="none" w:sz="0" w:space="0" w:color="auto"/>
        <w:left w:val="none" w:sz="0" w:space="0" w:color="auto"/>
        <w:bottom w:val="none" w:sz="0" w:space="0" w:color="auto"/>
        <w:right w:val="none" w:sz="0" w:space="0" w:color="auto"/>
      </w:divBdr>
    </w:div>
    <w:div w:id="1785995526">
      <w:bodyDiv w:val="1"/>
      <w:marLeft w:val="0"/>
      <w:marRight w:val="0"/>
      <w:marTop w:val="0"/>
      <w:marBottom w:val="0"/>
      <w:divBdr>
        <w:top w:val="none" w:sz="0" w:space="0" w:color="auto"/>
        <w:left w:val="none" w:sz="0" w:space="0" w:color="auto"/>
        <w:bottom w:val="none" w:sz="0" w:space="0" w:color="auto"/>
        <w:right w:val="none" w:sz="0" w:space="0" w:color="auto"/>
      </w:divBdr>
    </w:div>
    <w:div w:id="1870364352">
      <w:bodyDiv w:val="1"/>
      <w:marLeft w:val="0"/>
      <w:marRight w:val="0"/>
      <w:marTop w:val="0"/>
      <w:marBottom w:val="0"/>
      <w:divBdr>
        <w:top w:val="none" w:sz="0" w:space="0" w:color="auto"/>
        <w:left w:val="none" w:sz="0" w:space="0" w:color="auto"/>
        <w:bottom w:val="none" w:sz="0" w:space="0" w:color="auto"/>
        <w:right w:val="none" w:sz="0" w:space="0" w:color="auto"/>
      </w:divBdr>
    </w:div>
    <w:div w:id="1881748872">
      <w:bodyDiv w:val="1"/>
      <w:marLeft w:val="0"/>
      <w:marRight w:val="0"/>
      <w:marTop w:val="0"/>
      <w:marBottom w:val="0"/>
      <w:divBdr>
        <w:top w:val="none" w:sz="0" w:space="0" w:color="auto"/>
        <w:left w:val="none" w:sz="0" w:space="0" w:color="auto"/>
        <w:bottom w:val="none" w:sz="0" w:space="0" w:color="auto"/>
        <w:right w:val="none" w:sz="0" w:space="0" w:color="auto"/>
      </w:divBdr>
      <w:divsChild>
        <w:div w:id="1237781451">
          <w:marLeft w:val="0"/>
          <w:marRight w:val="0"/>
          <w:marTop w:val="0"/>
          <w:marBottom w:val="0"/>
          <w:divBdr>
            <w:top w:val="single" w:sz="2" w:space="0" w:color="auto"/>
            <w:left w:val="single" w:sz="2" w:space="0" w:color="auto"/>
            <w:bottom w:val="single" w:sz="6" w:space="0" w:color="auto"/>
            <w:right w:val="single" w:sz="2" w:space="0" w:color="auto"/>
          </w:divBdr>
          <w:divsChild>
            <w:div w:id="1410031775">
              <w:marLeft w:val="0"/>
              <w:marRight w:val="0"/>
              <w:marTop w:val="100"/>
              <w:marBottom w:val="100"/>
              <w:divBdr>
                <w:top w:val="single" w:sz="2" w:space="0" w:color="D9D9E3"/>
                <w:left w:val="single" w:sz="2" w:space="0" w:color="D9D9E3"/>
                <w:bottom w:val="single" w:sz="2" w:space="0" w:color="D9D9E3"/>
                <w:right w:val="single" w:sz="2" w:space="0" w:color="D9D9E3"/>
              </w:divBdr>
              <w:divsChild>
                <w:div w:id="951865875">
                  <w:marLeft w:val="0"/>
                  <w:marRight w:val="0"/>
                  <w:marTop w:val="0"/>
                  <w:marBottom w:val="0"/>
                  <w:divBdr>
                    <w:top w:val="single" w:sz="2" w:space="0" w:color="D9D9E3"/>
                    <w:left w:val="single" w:sz="2" w:space="0" w:color="D9D9E3"/>
                    <w:bottom w:val="single" w:sz="2" w:space="0" w:color="D9D9E3"/>
                    <w:right w:val="single" w:sz="2" w:space="0" w:color="D9D9E3"/>
                  </w:divBdr>
                  <w:divsChild>
                    <w:div w:id="249432997">
                      <w:marLeft w:val="0"/>
                      <w:marRight w:val="0"/>
                      <w:marTop w:val="0"/>
                      <w:marBottom w:val="0"/>
                      <w:divBdr>
                        <w:top w:val="single" w:sz="2" w:space="0" w:color="D9D9E3"/>
                        <w:left w:val="single" w:sz="2" w:space="0" w:color="D9D9E3"/>
                        <w:bottom w:val="single" w:sz="2" w:space="0" w:color="D9D9E3"/>
                        <w:right w:val="single" w:sz="2" w:space="0" w:color="D9D9E3"/>
                      </w:divBdr>
                      <w:divsChild>
                        <w:div w:id="1630166089">
                          <w:marLeft w:val="0"/>
                          <w:marRight w:val="0"/>
                          <w:marTop w:val="0"/>
                          <w:marBottom w:val="0"/>
                          <w:divBdr>
                            <w:top w:val="single" w:sz="2" w:space="0" w:color="D9D9E3"/>
                            <w:left w:val="single" w:sz="2" w:space="0" w:color="D9D9E3"/>
                            <w:bottom w:val="single" w:sz="2" w:space="0" w:color="D9D9E3"/>
                            <w:right w:val="single" w:sz="2" w:space="0" w:color="D9D9E3"/>
                          </w:divBdr>
                          <w:divsChild>
                            <w:div w:id="1507866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4253976">
          <w:marLeft w:val="0"/>
          <w:marRight w:val="0"/>
          <w:marTop w:val="0"/>
          <w:marBottom w:val="0"/>
          <w:divBdr>
            <w:top w:val="single" w:sz="2" w:space="0" w:color="auto"/>
            <w:left w:val="single" w:sz="2" w:space="0" w:color="auto"/>
            <w:bottom w:val="single" w:sz="6" w:space="0" w:color="auto"/>
            <w:right w:val="single" w:sz="2" w:space="0" w:color="auto"/>
          </w:divBdr>
          <w:divsChild>
            <w:div w:id="1898541438">
              <w:marLeft w:val="0"/>
              <w:marRight w:val="0"/>
              <w:marTop w:val="100"/>
              <w:marBottom w:val="100"/>
              <w:divBdr>
                <w:top w:val="single" w:sz="2" w:space="0" w:color="D9D9E3"/>
                <w:left w:val="single" w:sz="2" w:space="0" w:color="D9D9E3"/>
                <w:bottom w:val="single" w:sz="2" w:space="0" w:color="D9D9E3"/>
                <w:right w:val="single" w:sz="2" w:space="0" w:color="D9D9E3"/>
              </w:divBdr>
              <w:divsChild>
                <w:div w:id="397366719">
                  <w:marLeft w:val="0"/>
                  <w:marRight w:val="0"/>
                  <w:marTop w:val="0"/>
                  <w:marBottom w:val="0"/>
                  <w:divBdr>
                    <w:top w:val="single" w:sz="2" w:space="0" w:color="D9D9E3"/>
                    <w:left w:val="single" w:sz="2" w:space="0" w:color="D9D9E3"/>
                    <w:bottom w:val="single" w:sz="2" w:space="0" w:color="D9D9E3"/>
                    <w:right w:val="single" w:sz="2" w:space="0" w:color="D9D9E3"/>
                  </w:divBdr>
                  <w:divsChild>
                    <w:div w:id="113906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2903556">
                  <w:marLeft w:val="0"/>
                  <w:marRight w:val="0"/>
                  <w:marTop w:val="0"/>
                  <w:marBottom w:val="0"/>
                  <w:divBdr>
                    <w:top w:val="single" w:sz="2" w:space="0" w:color="D9D9E3"/>
                    <w:left w:val="single" w:sz="2" w:space="0" w:color="D9D9E3"/>
                    <w:bottom w:val="single" w:sz="2" w:space="0" w:color="D9D9E3"/>
                    <w:right w:val="single" w:sz="2" w:space="0" w:color="D9D9E3"/>
                  </w:divBdr>
                  <w:divsChild>
                    <w:div w:id="1368065418">
                      <w:marLeft w:val="0"/>
                      <w:marRight w:val="0"/>
                      <w:marTop w:val="0"/>
                      <w:marBottom w:val="0"/>
                      <w:divBdr>
                        <w:top w:val="single" w:sz="2" w:space="0" w:color="D9D9E3"/>
                        <w:left w:val="single" w:sz="2" w:space="0" w:color="D9D9E3"/>
                        <w:bottom w:val="single" w:sz="2" w:space="0" w:color="D9D9E3"/>
                        <w:right w:val="single" w:sz="2" w:space="0" w:color="D9D9E3"/>
                      </w:divBdr>
                      <w:divsChild>
                        <w:div w:id="264508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9886068">
          <w:marLeft w:val="0"/>
          <w:marRight w:val="0"/>
          <w:marTop w:val="0"/>
          <w:marBottom w:val="0"/>
          <w:divBdr>
            <w:top w:val="single" w:sz="2" w:space="0" w:color="auto"/>
            <w:left w:val="single" w:sz="2" w:space="0" w:color="auto"/>
            <w:bottom w:val="single" w:sz="6" w:space="0" w:color="auto"/>
            <w:right w:val="single" w:sz="2" w:space="0" w:color="auto"/>
          </w:divBdr>
          <w:divsChild>
            <w:div w:id="6133669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13507">
                  <w:marLeft w:val="0"/>
                  <w:marRight w:val="0"/>
                  <w:marTop w:val="0"/>
                  <w:marBottom w:val="0"/>
                  <w:divBdr>
                    <w:top w:val="single" w:sz="2" w:space="0" w:color="D9D9E3"/>
                    <w:left w:val="single" w:sz="2" w:space="0" w:color="D9D9E3"/>
                    <w:bottom w:val="single" w:sz="2" w:space="0" w:color="D9D9E3"/>
                    <w:right w:val="single" w:sz="2" w:space="0" w:color="D9D9E3"/>
                  </w:divBdr>
                  <w:divsChild>
                    <w:div w:id="2054764163">
                      <w:marLeft w:val="0"/>
                      <w:marRight w:val="0"/>
                      <w:marTop w:val="0"/>
                      <w:marBottom w:val="0"/>
                      <w:divBdr>
                        <w:top w:val="single" w:sz="2" w:space="0" w:color="D9D9E3"/>
                        <w:left w:val="single" w:sz="2" w:space="0" w:color="D9D9E3"/>
                        <w:bottom w:val="single" w:sz="2" w:space="0" w:color="D9D9E3"/>
                        <w:right w:val="single" w:sz="2" w:space="0" w:color="D9D9E3"/>
                      </w:divBdr>
                      <w:divsChild>
                        <w:div w:id="1854607227">
                          <w:marLeft w:val="0"/>
                          <w:marRight w:val="0"/>
                          <w:marTop w:val="0"/>
                          <w:marBottom w:val="0"/>
                          <w:divBdr>
                            <w:top w:val="single" w:sz="2" w:space="0" w:color="D9D9E3"/>
                            <w:left w:val="single" w:sz="2" w:space="0" w:color="D9D9E3"/>
                            <w:bottom w:val="single" w:sz="2" w:space="0" w:color="D9D9E3"/>
                            <w:right w:val="single" w:sz="2" w:space="0" w:color="D9D9E3"/>
                          </w:divBdr>
                          <w:divsChild>
                            <w:div w:id="1987470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84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DD60A9DF7FF42A7C1A143C436DF13" ma:contentTypeVersion="13" ma:contentTypeDescription="Create a new document." ma:contentTypeScope="" ma:versionID="f220ff887b3e62819db7a6a23cacc736">
  <xsd:schema xmlns:xsd="http://www.w3.org/2001/XMLSchema" xmlns:xs="http://www.w3.org/2001/XMLSchema" xmlns:p="http://schemas.microsoft.com/office/2006/metadata/properties" xmlns:ns3="52fca801-f932-47a6-9a64-c981446ccf29" xmlns:ns4="e5947fe8-919c-414c-a213-c7e819fe0203" targetNamespace="http://schemas.microsoft.com/office/2006/metadata/properties" ma:root="true" ma:fieldsID="7de2e948586a029349a937c27949c2e2" ns3:_="" ns4:_="">
    <xsd:import namespace="52fca801-f932-47a6-9a64-c981446ccf29"/>
    <xsd:import namespace="e5947fe8-919c-414c-a213-c7e819fe02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ca801-f932-47a6-9a64-c981446cc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47fe8-919c-414c-a213-c7e819fe02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2fca801-f932-47a6-9a64-c981446cc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F518-5ABF-43D1-9262-604E3B8C3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ca801-f932-47a6-9a64-c981446ccf29"/>
    <ds:schemaRef ds:uri="e5947fe8-919c-414c-a213-c7e819fe0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C0977-4B5A-4D9E-8FC4-EBBD1A78B1C4}">
  <ds:schemaRefs>
    <ds:schemaRef ds:uri="http://schemas.microsoft.com/office/2006/metadata/properties"/>
    <ds:schemaRef ds:uri="http://purl.org/dc/terms/"/>
    <ds:schemaRef ds:uri="http://schemas.openxmlformats.org/package/2006/metadata/core-properties"/>
    <ds:schemaRef ds:uri="e5947fe8-919c-414c-a213-c7e819fe0203"/>
    <ds:schemaRef ds:uri="http://schemas.microsoft.com/office/2006/documentManagement/types"/>
    <ds:schemaRef ds:uri="http://schemas.microsoft.com/office/infopath/2007/PartnerControls"/>
    <ds:schemaRef ds:uri="52fca801-f932-47a6-9a64-c981446ccf29"/>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FC2609B-97A6-4CA0-9988-6FCF398CD26F}">
  <ds:schemaRefs>
    <ds:schemaRef ds:uri="http://schemas.microsoft.com/sharepoint/v3/contenttype/forms"/>
  </ds:schemaRefs>
</ds:datastoreItem>
</file>

<file path=customXml/itemProps4.xml><?xml version="1.0" encoding="utf-8"?>
<ds:datastoreItem xmlns:ds="http://schemas.openxmlformats.org/officeDocument/2006/customXml" ds:itemID="{C99011DF-87E4-4615-9333-D27B7F10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Rosca</dc:creator>
  <cp:keywords/>
  <dc:description/>
  <cp:lastModifiedBy>HAIML Franziska</cp:lastModifiedBy>
  <cp:revision>17</cp:revision>
  <cp:lastPrinted>2023-02-21T11:09:00Z</cp:lastPrinted>
  <dcterms:created xsi:type="dcterms:W3CDTF">2023-02-21T09:34:00Z</dcterms:created>
  <dcterms:modified xsi:type="dcterms:W3CDTF">2023-02-21T11:29:00Z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2023-02-01T21:52:57Z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61a0b315-febd-411a-b370-aa091e9374ec</vt:lpwstr>
  </property>
  <property fmtid="{D5CDD505-2E9C-101B-9397-08002B2CF9AE}" pid="8" name="MSIP_Label_5c4e35d5-db9c-4c03-801d-f4783407a705_ContentBits">
    <vt:lpwstr>0</vt:lpwstr>
  </property>
  <property fmtid="{D5CDD505-2E9C-101B-9397-08002B2CF9AE}" pid="9" name="ContentTypeId">
    <vt:lpwstr>0x0101003C2DD60A9DF7FF42A7C1A143C436DF13</vt:lpwstr>
  </property>
</Properties>
</file>